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Arial Unicode MS" w:hAnsi="Times New Roman" w:eastAsia="Arial Unicode MS" w:cs="Times New Roman"/>
          <w:kern w:val="0"/>
          <w:sz w:val="44"/>
          <w:szCs w:val="44"/>
        </w:rPr>
      </w:pPr>
    </w:p>
    <w:p>
      <w:pPr>
        <w:spacing w:line="560" w:lineRule="exact"/>
        <w:jc w:val="center"/>
        <w:rPr>
          <w:rFonts w:hint="eastAsia" w:ascii="Arial Unicode MS" w:hAnsi="Times New Roman" w:eastAsia="Arial Unicode MS" w:cs="Times New Roman"/>
          <w:kern w:val="0"/>
          <w:sz w:val="44"/>
          <w:szCs w:val="44"/>
        </w:rPr>
      </w:pPr>
    </w:p>
    <w:p>
      <w:pPr>
        <w:spacing w:line="560" w:lineRule="exact"/>
        <w:jc w:val="center"/>
        <w:rPr>
          <w:rFonts w:hint="eastAsia" w:ascii="Arial Unicode MS" w:hAnsi="Times New Roman" w:eastAsia="Arial Unicode MS" w:cs="Times New Roman"/>
          <w:kern w:val="0"/>
          <w:sz w:val="44"/>
          <w:szCs w:val="44"/>
        </w:rPr>
      </w:pPr>
    </w:p>
    <w:p>
      <w:pPr>
        <w:spacing w:line="560" w:lineRule="exact"/>
        <w:jc w:val="center"/>
        <w:rPr>
          <w:rFonts w:hint="eastAsia" w:ascii="Arial Unicode MS" w:hAnsi="Times New Roman" w:eastAsia="Arial Unicode MS" w:cs="Times New Roman"/>
          <w:kern w:val="0"/>
          <w:sz w:val="44"/>
          <w:szCs w:val="44"/>
        </w:rPr>
      </w:pPr>
    </w:p>
    <w:p>
      <w:pPr>
        <w:spacing w:line="560" w:lineRule="exact"/>
        <w:jc w:val="center"/>
        <w:rPr>
          <w:rFonts w:hint="eastAsia" w:ascii="Arial Unicode MS" w:hAnsi="Times New Roman" w:eastAsia="Arial Unicode MS" w:cs="Times New Roman"/>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kern w:val="0"/>
          <w:sz w:val="44"/>
          <w:szCs w:val="44"/>
          <w:lang w:val="en-US" w:eastAsia="zh-CN"/>
        </w:rPr>
      </w:pPr>
      <w:r>
        <w:rPr>
          <w:rFonts w:hint="eastAsia" w:ascii="方正小标宋_GBK" w:hAnsi="方正小标宋_GBK" w:eastAsia="方正小标宋_GBK" w:cs="方正小标宋_GBK"/>
          <w:kern w:val="0"/>
          <w:sz w:val="48"/>
          <w:szCs w:val="48"/>
        </w:rPr>
        <w:t>202</w:t>
      </w:r>
      <w:r>
        <w:rPr>
          <w:rFonts w:hint="eastAsia" w:ascii="方正小标宋_GBK" w:hAnsi="方正小标宋_GBK" w:eastAsia="方正小标宋_GBK" w:cs="方正小标宋_GBK"/>
          <w:kern w:val="0"/>
          <w:sz w:val="48"/>
          <w:szCs w:val="48"/>
          <w:lang w:val="en-US" w:eastAsia="zh-CN"/>
        </w:rPr>
        <w:t>4</w:t>
      </w:r>
      <w:r>
        <w:rPr>
          <w:rFonts w:hint="eastAsia" w:ascii="方正小标宋_GBK" w:hAnsi="方正小标宋_GBK" w:eastAsia="方正小标宋_GBK" w:cs="方正小标宋_GBK"/>
          <w:kern w:val="0"/>
          <w:sz w:val="48"/>
          <w:szCs w:val="48"/>
        </w:rPr>
        <w:t>年度</w:t>
      </w:r>
      <w:r>
        <w:rPr>
          <w:rFonts w:hint="eastAsia" w:ascii="方正小标宋_GBK" w:hAnsi="方正小标宋_GBK" w:eastAsia="方正小标宋_GBK" w:cs="方正小标宋_GBK"/>
          <w:b w:val="0"/>
          <w:bCs w:val="0"/>
          <w:kern w:val="0"/>
          <w:sz w:val="44"/>
          <w:szCs w:val="44"/>
          <w:lang w:val="en-US" w:eastAsia="zh-CN"/>
        </w:rPr>
        <w:t>常德市</w:t>
      </w:r>
      <w:r>
        <w:rPr>
          <w:rFonts w:hint="eastAsia" w:ascii="方正小标宋_GBK" w:hAnsi="方正小标宋_GBK" w:eastAsia="方正小标宋_GBK" w:cs="方正小标宋_GBK"/>
          <w:b w:val="0"/>
          <w:bCs w:val="0"/>
          <w:kern w:val="0"/>
          <w:sz w:val="44"/>
          <w:szCs w:val="44"/>
          <w:lang w:eastAsia="zh-CN"/>
        </w:rPr>
        <w:t>武陵区</w:t>
      </w:r>
      <w:r>
        <w:rPr>
          <w:rFonts w:hint="eastAsia" w:ascii="方正小标宋_GBK" w:hAnsi="方正小标宋_GBK" w:eastAsia="方正小标宋_GBK" w:cs="方正小标宋_GBK"/>
          <w:b w:val="0"/>
          <w:bCs w:val="0"/>
          <w:kern w:val="0"/>
          <w:sz w:val="44"/>
          <w:szCs w:val="44"/>
          <w:lang w:val="en-US" w:eastAsia="zh-CN"/>
        </w:rPr>
        <w:t>残疾人联合会</w:t>
      </w:r>
    </w:p>
    <w:p>
      <w:pPr>
        <w:spacing w:line="480" w:lineRule="auto"/>
        <w:jc w:val="center"/>
        <w:rPr>
          <w:rFonts w:hint="eastAsia" w:ascii="方正小标宋_GBK" w:hAnsi="方正小标宋_GBK" w:eastAsia="方正小标宋_GBK" w:cs="方正小标宋_GBK"/>
          <w:kern w:val="0"/>
          <w:sz w:val="48"/>
          <w:szCs w:val="48"/>
        </w:rPr>
      </w:pPr>
      <w:r>
        <w:rPr>
          <w:rFonts w:hint="eastAsia" w:ascii="方正小标宋_GBK" w:hAnsi="方正小标宋_GBK" w:eastAsia="方正小标宋_GBK" w:cs="方正小标宋_GBK"/>
          <w:kern w:val="0"/>
          <w:sz w:val="48"/>
          <w:szCs w:val="48"/>
        </w:rPr>
        <w:t>整体支出绩效自评报告</w:t>
      </w:r>
    </w:p>
    <w:p>
      <w:pPr>
        <w:spacing w:line="480" w:lineRule="auto"/>
        <w:jc w:val="center"/>
        <w:rPr>
          <w:rFonts w:hint="eastAsia" w:ascii="Arial Unicode MS" w:hAnsi="Times New Roman" w:eastAsia="Arial Unicode MS" w:cs="Times New Roman"/>
          <w:kern w:val="0"/>
          <w:sz w:val="48"/>
          <w:szCs w:val="48"/>
        </w:rPr>
      </w:pPr>
    </w:p>
    <w:p>
      <w:pPr>
        <w:spacing w:line="480" w:lineRule="auto"/>
        <w:jc w:val="center"/>
        <w:rPr>
          <w:rFonts w:hint="eastAsia" w:ascii="Arial Unicode MS" w:hAnsi="Times New Roman" w:eastAsia="Arial Unicode MS" w:cs="Times New Roman"/>
          <w:kern w:val="0"/>
          <w:sz w:val="48"/>
          <w:szCs w:val="48"/>
        </w:rPr>
      </w:pPr>
    </w:p>
    <w:p>
      <w:pPr>
        <w:spacing w:line="480" w:lineRule="auto"/>
        <w:jc w:val="center"/>
        <w:rPr>
          <w:rFonts w:hint="eastAsia" w:ascii="Arial Unicode MS" w:hAnsi="Times New Roman" w:eastAsia="Arial Unicode MS" w:cs="Times New Roman"/>
          <w:kern w:val="0"/>
          <w:sz w:val="48"/>
          <w:szCs w:val="48"/>
        </w:rPr>
      </w:pPr>
    </w:p>
    <w:p>
      <w:pPr>
        <w:spacing w:line="480" w:lineRule="auto"/>
        <w:jc w:val="center"/>
        <w:rPr>
          <w:rFonts w:hint="eastAsia" w:ascii="Arial Unicode MS" w:hAnsi="Times New Roman" w:eastAsia="Arial Unicode MS" w:cs="Times New Roman"/>
          <w:kern w:val="0"/>
          <w:sz w:val="48"/>
          <w:szCs w:val="48"/>
        </w:rPr>
      </w:pPr>
    </w:p>
    <w:p>
      <w:pPr>
        <w:spacing w:line="480" w:lineRule="auto"/>
        <w:jc w:val="center"/>
        <w:rPr>
          <w:rFonts w:hint="eastAsia" w:ascii="Arial Unicode MS" w:hAnsi="Times New Roman" w:eastAsia="Arial Unicode MS" w:cs="Times New Roman"/>
          <w:kern w:val="0"/>
          <w:sz w:val="48"/>
          <w:szCs w:val="48"/>
        </w:rPr>
      </w:pPr>
    </w:p>
    <w:p>
      <w:pPr>
        <w:spacing w:line="480" w:lineRule="auto"/>
        <w:ind w:firstLine="2240" w:firstLineChars="700"/>
        <w:jc w:val="left"/>
        <w:rPr>
          <w:rFonts w:hint="eastAsia" w:ascii="仿宋_GB2312" w:hAnsi="Times New Roman" w:eastAsia="仿宋_GB2312" w:cs="Times New Roman"/>
          <w:kern w:val="0"/>
          <w:sz w:val="32"/>
          <w:szCs w:val="32"/>
          <w:u w:val="single"/>
        </w:rPr>
      </w:pPr>
      <w:r>
        <w:rPr>
          <w:rFonts w:hint="eastAsia" w:ascii="仿宋_GB2312" w:hAnsi="Times New Roman" w:eastAsia="仿宋_GB2312" w:cs="Times New Roman"/>
          <w:kern w:val="0"/>
          <w:sz w:val="32"/>
          <w:szCs w:val="32"/>
        </w:rPr>
        <w:t>单位名称：</w:t>
      </w:r>
      <w:r>
        <w:rPr>
          <w:rFonts w:hint="eastAsia" w:ascii="仿宋_GB2312" w:hAnsi="Times New Roman" w:eastAsia="仿宋_GB2312" w:cs="Times New Roman"/>
          <w:kern w:val="0"/>
          <w:sz w:val="32"/>
          <w:szCs w:val="32"/>
          <w:u w:val="single"/>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3200" w:firstLineChars="10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2025</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2</w:t>
      </w:r>
      <w:r>
        <w:rPr>
          <w:rFonts w:hint="default" w:ascii="Times New Roman" w:hAnsi="Times New Roman" w:cs="Times New Roman"/>
          <w:kern w:val="0"/>
          <w:sz w:val="32"/>
          <w:szCs w:val="32"/>
          <w:lang w:val="en-US" w:eastAsia="zh-CN"/>
        </w:rPr>
        <w:t>5</w:t>
      </w:r>
      <w:r>
        <w:rPr>
          <w:rFonts w:hint="default" w:ascii="Times New Roman" w:hAnsi="Times New Roman" w:eastAsia="仿宋_GB2312" w:cs="Times New Roman"/>
          <w:kern w:val="0"/>
          <w:sz w:val="32"/>
          <w:szCs w:val="32"/>
        </w:rPr>
        <w:t>日</w:t>
      </w:r>
    </w:p>
    <w:p>
      <w:pPr>
        <w:spacing w:line="480" w:lineRule="auto"/>
        <w:ind w:firstLine="3520" w:firstLineChars="1100"/>
        <w:jc w:val="left"/>
        <w:rPr>
          <w:rFonts w:hint="eastAsia" w:ascii="仿宋_GB2312" w:hAnsi="Times New Roman" w:eastAsia="仿宋_GB2312" w:cs="Times New Roman"/>
          <w:kern w:val="0"/>
          <w:sz w:val="32"/>
          <w:szCs w:val="32"/>
        </w:rPr>
      </w:pPr>
    </w:p>
    <w:p>
      <w:pPr>
        <w:spacing w:line="520" w:lineRule="exact"/>
        <w:jc w:val="center"/>
        <w:rPr>
          <w:rFonts w:hint="eastAsia" w:ascii="方正小标宋_GBK" w:hAnsi="方正小标宋_GBK" w:eastAsia="方正小标宋_GBK" w:cs="方正小标宋_GBK"/>
          <w:b w:val="0"/>
          <w:bCs/>
          <w:color w:val="000000"/>
          <w:kern w:val="0"/>
          <w:sz w:val="44"/>
          <w:szCs w:val="44"/>
        </w:rPr>
        <w:sectPr>
          <w:footerReference r:id="rId3" w:type="default"/>
          <w:pgSz w:w="11906" w:h="16838"/>
          <w:pgMar w:top="1417" w:right="1134" w:bottom="1417" w:left="1134" w:header="851" w:footer="992" w:gutter="0"/>
          <w:cols w:space="720" w:num="1"/>
          <w:docGrid w:type="linesAndChars" w:linePitch="316" w:charSpace="0"/>
        </w:sectPr>
      </w:pPr>
      <w:r>
        <w:rPr>
          <w:rFonts w:hint="eastAsia" w:ascii="仿宋_GB2312" w:hAnsi="Times New Roman" w:eastAsia="仿宋_GB2312" w:cs="Times New Roman"/>
          <w:kern w:val="0"/>
          <w:sz w:val="32"/>
          <w:szCs w:val="32"/>
        </w:rPr>
        <w:t>（此页为封面）</w:t>
      </w:r>
    </w:p>
    <w:p>
      <w:pPr>
        <w:spacing w:line="520" w:lineRule="exact"/>
        <w:jc w:val="center"/>
        <w:rPr>
          <w:rFonts w:hint="eastAsia" w:ascii="方正小标宋_GBK" w:hAnsi="方正小标宋_GBK" w:eastAsia="方正小标宋_GBK" w:cs="方正小标宋_GBK"/>
          <w:b w:val="0"/>
          <w:bCs/>
          <w:color w:val="000000"/>
          <w:kern w:val="0"/>
          <w:sz w:val="44"/>
          <w:szCs w:val="44"/>
        </w:rPr>
      </w:pPr>
      <w:r>
        <w:rPr>
          <w:rFonts w:hint="eastAsia" w:ascii="方正小标宋_GBK" w:hAnsi="方正小标宋_GBK" w:eastAsia="方正小标宋_GBK" w:cs="方正小标宋_GBK"/>
          <w:b w:val="0"/>
          <w:bCs/>
          <w:color w:val="000000"/>
          <w:kern w:val="0"/>
          <w:sz w:val="44"/>
          <w:szCs w:val="44"/>
        </w:rPr>
        <w:t>202</w:t>
      </w:r>
      <w:r>
        <w:rPr>
          <w:rFonts w:hint="eastAsia" w:ascii="方正小标宋_GBK" w:hAnsi="方正小标宋_GBK" w:eastAsia="方正小标宋_GBK" w:cs="方正小标宋_GBK"/>
          <w:b w:val="0"/>
          <w:bCs/>
          <w:color w:val="000000"/>
          <w:kern w:val="0"/>
          <w:sz w:val="44"/>
          <w:szCs w:val="44"/>
          <w:lang w:val="en-US" w:eastAsia="zh-CN"/>
        </w:rPr>
        <w:t>4</w:t>
      </w:r>
      <w:r>
        <w:rPr>
          <w:rFonts w:hint="eastAsia" w:ascii="方正小标宋_GBK" w:hAnsi="方正小标宋_GBK" w:eastAsia="方正小标宋_GBK" w:cs="方正小标宋_GBK"/>
          <w:b w:val="0"/>
          <w:bCs/>
          <w:color w:val="000000"/>
          <w:kern w:val="0"/>
          <w:sz w:val="44"/>
          <w:szCs w:val="44"/>
        </w:rPr>
        <w:t>年度武陵区残联</w:t>
      </w:r>
      <w:r>
        <w:rPr>
          <w:rFonts w:hint="eastAsia" w:ascii="方正小标宋_GBK" w:hAnsi="方正小标宋_GBK" w:eastAsia="方正小标宋_GBK" w:cs="方正小标宋_GBK"/>
          <w:b w:val="0"/>
          <w:bCs/>
          <w:color w:val="000000"/>
          <w:kern w:val="0"/>
          <w:sz w:val="44"/>
          <w:szCs w:val="44"/>
          <w:lang w:eastAsia="zh-CN"/>
        </w:rPr>
        <w:t>部门</w:t>
      </w:r>
      <w:r>
        <w:rPr>
          <w:rFonts w:hint="eastAsia" w:ascii="方正小标宋_GBK" w:hAnsi="方正小标宋_GBK" w:eastAsia="方正小标宋_GBK" w:cs="方正小标宋_GBK"/>
          <w:b w:val="0"/>
          <w:bCs/>
          <w:color w:val="000000"/>
          <w:kern w:val="0"/>
          <w:sz w:val="44"/>
          <w:szCs w:val="44"/>
        </w:rPr>
        <w:t>整体支出</w:t>
      </w:r>
    </w:p>
    <w:p>
      <w:pPr>
        <w:spacing w:line="520" w:lineRule="exact"/>
        <w:jc w:val="center"/>
        <w:rPr>
          <w:rFonts w:hint="eastAsia" w:ascii="方正小标宋_GBK" w:hAnsi="方正小标宋_GBK" w:eastAsia="方正小标宋_GBK" w:cs="方正小标宋_GBK"/>
          <w:b w:val="0"/>
          <w:bCs/>
          <w:color w:val="000000"/>
          <w:kern w:val="0"/>
          <w:sz w:val="44"/>
          <w:szCs w:val="44"/>
        </w:rPr>
      </w:pPr>
      <w:r>
        <w:rPr>
          <w:rFonts w:hint="eastAsia" w:ascii="方正小标宋_GBK" w:hAnsi="方正小标宋_GBK" w:eastAsia="方正小标宋_GBK" w:cs="方正小标宋_GBK"/>
          <w:b w:val="0"/>
          <w:bCs/>
          <w:color w:val="000000"/>
          <w:kern w:val="0"/>
          <w:sz w:val="44"/>
          <w:szCs w:val="44"/>
        </w:rPr>
        <w:t>绩效自评报告</w:t>
      </w:r>
    </w:p>
    <w:p>
      <w:pPr>
        <w:pStyle w:val="2"/>
      </w:pPr>
    </w:p>
    <w:p>
      <w:pPr>
        <w:numPr>
          <w:ilvl w:val="0"/>
          <w:numId w:val="1"/>
        </w:numPr>
        <w:spacing w:line="600" w:lineRule="exact"/>
        <w:ind w:left="0" w:firstLine="608" w:firstLineChars="190"/>
        <w:rPr>
          <w:rFonts w:ascii="黑体" w:hAnsi="黑体" w:eastAsia="黑体"/>
          <w:sz w:val="32"/>
          <w:szCs w:val="32"/>
        </w:rPr>
      </w:pPr>
      <w:r>
        <w:rPr>
          <w:rFonts w:hint="eastAsia" w:ascii="黑体" w:hAnsi="黑体" w:eastAsia="黑体"/>
          <w:sz w:val="32"/>
          <w:szCs w:val="32"/>
        </w:rPr>
        <w:t>单位概况</w:t>
      </w:r>
    </w:p>
    <w:p>
      <w:pPr>
        <w:spacing w:line="600" w:lineRule="exact"/>
        <w:ind w:firstLine="608" w:firstLineChars="190"/>
        <w:rPr>
          <w:rFonts w:ascii="楷体" w:hAnsi="楷体" w:eastAsia="楷体" w:cs="仿宋"/>
          <w:sz w:val="32"/>
          <w:szCs w:val="32"/>
        </w:rPr>
      </w:pPr>
      <w:r>
        <w:rPr>
          <w:rFonts w:hint="eastAsia" w:ascii="楷体" w:hAnsi="楷体" w:eastAsia="楷体" w:cs="仿宋"/>
          <w:sz w:val="32"/>
          <w:szCs w:val="32"/>
        </w:rPr>
        <w:t>（一）机构、人员构成</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区残联是区财政全额拔款的正科级事业单位，是负责将残疾人自身代表组织、社会福利团体和事业管理机构融为一体的联合性团体；内设办公室、康复股、维权股、群宣股、组联股、计财股、残疾人就业服务中心等</w:t>
      </w:r>
      <w:r>
        <w:rPr>
          <w:rFonts w:hint="eastAsia" w:ascii="仿宋_GB2312" w:hAnsi="仿宋_GB2312" w:eastAsia="仿宋_GB2312" w:cs="仿宋_GB2312"/>
          <w:kern w:val="0"/>
          <w:sz w:val="30"/>
          <w:szCs w:val="30"/>
        </w:rPr>
        <w:t>7个股室</w:t>
      </w:r>
      <w:r>
        <w:rPr>
          <w:rFonts w:hint="eastAsia" w:ascii="仿宋" w:hAnsi="仿宋" w:eastAsia="仿宋" w:cs="仿宋"/>
          <w:sz w:val="32"/>
          <w:szCs w:val="32"/>
        </w:rPr>
        <w:t>；核定编制数</w:t>
      </w:r>
      <w:r>
        <w:rPr>
          <w:rFonts w:hint="eastAsia" w:ascii="仿宋_GB2312" w:hAnsi="仿宋"/>
          <w:sz w:val="32"/>
          <w:szCs w:val="32"/>
        </w:rPr>
        <w:t>1</w:t>
      </w:r>
      <w:r>
        <w:rPr>
          <w:rFonts w:hint="eastAsia" w:ascii="仿宋" w:hAnsi="仿宋" w:eastAsia="仿宋" w:cs="仿宋"/>
          <w:sz w:val="32"/>
          <w:szCs w:val="32"/>
        </w:rPr>
        <w:t>2人，聘用5人，在岗人员合计17人；离退休6人。</w:t>
      </w:r>
    </w:p>
    <w:p>
      <w:pPr>
        <w:spacing w:line="600" w:lineRule="exact"/>
        <w:ind w:firstLine="608" w:firstLineChars="190"/>
        <w:rPr>
          <w:rFonts w:ascii="楷体" w:hAnsi="楷体" w:eastAsia="楷体" w:cs="仿宋"/>
          <w:sz w:val="32"/>
          <w:szCs w:val="32"/>
        </w:rPr>
      </w:pPr>
      <w:r>
        <w:rPr>
          <w:rFonts w:hint="eastAsia" w:ascii="楷体" w:hAnsi="楷体" w:eastAsia="楷体" w:cs="仿宋"/>
          <w:sz w:val="32"/>
          <w:szCs w:val="32"/>
        </w:rPr>
        <w:t>（二）单位主要职责</w:t>
      </w:r>
    </w:p>
    <w:p>
      <w:pPr>
        <w:ind w:firstLine="608" w:firstLineChars="190"/>
        <w:rPr>
          <w:rFonts w:ascii="仿宋" w:hAnsi="仿宋" w:eastAsia="仿宋" w:cs="仿宋"/>
          <w:sz w:val="32"/>
          <w:szCs w:val="32"/>
        </w:rPr>
      </w:pPr>
      <w:r>
        <w:rPr>
          <w:rFonts w:hint="eastAsia" w:ascii="仿宋" w:hAnsi="仿宋" w:eastAsia="仿宋" w:cs="仿宋"/>
          <w:sz w:val="32"/>
          <w:szCs w:val="32"/>
        </w:rPr>
        <w:t>密切联系残疾人，听取残疾人意见，反映残疾人需求，维护残疾人权益，为残疾人服务；团结、教育残疾人遵守法律，履行应尽义务，发扬乐观进取精神，自尊、自信、自强、自立，为社会主义建设贡献力量；弘扬人道主义，宣传残疾人事业，沟通政府、社会与残疾人之间的联系，动员社会力量理解、尊重、关心、帮助残疾人；开展和促进残疾人康复、教育、劳动就业、扶贫、文化、体育、科研、用品用具供应、福利、社会服务、无障碍设施和残疾预防等工作，创造良好的环境和条件，扶助残疾人平等参与社会生活；协助政府研究、制定和实施残疾人事业的规章、规划和计划，对有关业务进行指导和管理；会同有关部门指导和管理各类残疾人社团组织；承担区人民政府残疾人工作协调委员会的日常工作，做好综合、组织、协调和服务；承办区委、区人民政府交办的其他事项。</w:t>
      </w:r>
    </w:p>
    <w:p>
      <w:pPr>
        <w:spacing w:line="600" w:lineRule="exact"/>
        <w:ind w:firstLine="608" w:firstLineChars="190"/>
        <w:rPr>
          <w:rFonts w:ascii="黑体" w:hAnsi="黑体" w:eastAsia="黑体"/>
          <w:sz w:val="32"/>
          <w:szCs w:val="32"/>
        </w:rPr>
      </w:pPr>
      <w:r>
        <w:rPr>
          <w:rFonts w:hint="eastAsia" w:ascii="黑体" w:hAnsi="黑体" w:eastAsia="黑体"/>
          <w:sz w:val="32"/>
          <w:szCs w:val="32"/>
        </w:rPr>
        <w:t>二、部门财务情况</w:t>
      </w:r>
    </w:p>
    <w:p>
      <w:pPr>
        <w:spacing w:line="600" w:lineRule="exact"/>
        <w:ind w:firstLine="608" w:firstLineChars="190"/>
        <w:rPr>
          <w:rFonts w:ascii="楷体" w:hAnsi="楷体" w:eastAsia="楷体" w:cs="仿宋"/>
          <w:sz w:val="32"/>
          <w:szCs w:val="32"/>
        </w:rPr>
      </w:pPr>
      <w:r>
        <w:rPr>
          <w:rFonts w:hint="eastAsia" w:ascii="楷体" w:hAnsi="楷体" w:eastAsia="楷体" w:cs="仿宋"/>
          <w:sz w:val="32"/>
          <w:szCs w:val="32"/>
        </w:rPr>
        <w:t>（一）202</w:t>
      </w:r>
      <w:r>
        <w:rPr>
          <w:rFonts w:hint="eastAsia" w:ascii="楷体" w:hAnsi="楷体" w:eastAsia="楷体" w:cs="仿宋"/>
          <w:sz w:val="32"/>
          <w:szCs w:val="32"/>
          <w:lang w:val="en-US" w:eastAsia="zh-CN"/>
        </w:rPr>
        <w:t>4</w:t>
      </w:r>
      <w:r>
        <w:rPr>
          <w:rFonts w:hint="eastAsia" w:ascii="楷体" w:hAnsi="楷体" w:eastAsia="楷体" w:cs="仿宋"/>
          <w:sz w:val="32"/>
          <w:szCs w:val="32"/>
        </w:rPr>
        <w:t>年部门整体收支情况</w:t>
      </w:r>
    </w:p>
    <w:p>
      <w:pPr>
        <w:widowControl/>
        <w:tabs>
          <w:tab w:val="left" w:pos="5565"/>
        </w:tabs>
        <w:spacing w:before="100" w:after="100" w:line="560" w:lineRule="exact"/>
        <w:ind w:firstLine="608" w:firstLineChars="190"/>
        <w:jc w:val="left"/>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w:t>
      </w:r>
      <w:r>
        <w:rPr>
          <w:rFonts w:hint="eastAsia" w:ascii="仿宋" w:hAnsi="仿宋" w:eastAsia="仿宋" w:cs="仿宋"/>
          <w:sz w:val="32"/>
          <w:szCs w:val="32"/>
        </w:rPr>
        <w:t>财政拨款收入</w:t>
      </w:r>
      <w:r>
        <w:rPr>
          <w:rFonts w:hint="eastAsia" w:ascii="仿宋" w:hAnsi="仿宋" w:eastAsia="仿宋" w:cs="仿宋"/>
          <w:sz w:val="32"/>
          <w:szCs w:val="32"/>
          <w:lang w:val="en-US" w:eastAsia="zh-CN"/>
        </w:rPr>
        <w:t>884.26</w:t>
      </w:r>
      <w:r>
        <w:rPr>
          <w:rFonts w:hint="eastAsia" w:ascii="仿宋" w:hAnsi="仿宋" w:eastAsia="仿宋" w:cs="仿宋"/>
          <w:sz w:val="32"/>
          <w:szCs w:val="32"/>
        </w:rPr>
        <w:t>万元。</w:t>
      </w:r>
      <w:r>
        <w:rPr>
          <w:rFonts w:hint="eastAsia" w:ascii="仿宋" w:hAnsi="仿宋" w:eastAsia="仿宋" w:cs="仿宋"/>
          <w:kern w:val="0"/>
          <w:sz w:val="32"/>
          <w:szCs w:val="32"/>
        </w:rPr>
        <w:t>部门整体支出</w:t>
      </w:r>
      <w:r>
        <w:rPr>
          <w:rFonts w:hint="eastAsia" w:ascii="仿宋" w:hAnsi="仿宋" w:eastAsia="仿宋" w:cs="仿宋"/>
          <w:kern w:val="0"/>
          <w:sz w:val="32"/>
          <w:szCs w:val="32"/>
          <w:lang w:val="en-US" w:eastAsia="zh-CN"/>
        </w:rPr>
        <w:t>884.26</w:t>
      </w:r>
      <w:r>
        <w:rPr>
          <w:rFonts w:hint="eastAsia" w:ascii="仿宋" w:hAnsi="仿宋" w:eastAsia="仿宋" w:cs="仿宋"/>
          <w:kern w:val="0"/>
          <w:sz w:val="32"/>
          <w:szCs w:val="32"/>
        </w:rPr>
        <w:t>万元，其中：基本支出</w:t>
      </w:r>
      <w:r>
        <w:rPr>
          <w:rFonts w:hint="eastAsia" w:ascii="仿宋" w:hAnsi="仿宋" w:eastAsia="仿宋" w:cs="仿宋"/>
          <w:kern w:val="0"/>
          <w:sz w:val="32"/>
          <w:szCs w:val="32"/>
          <w:lang w:val="en-US" w:eastAsia="zh-CN"/>
        </w:rPr>
        <w:t>274.18</w:t>
      </w:r>
      <w:r>
        <w:rPr>
          <w:rFonts w:hint="eastAsia" w:ascii="仿宋" w:hAnsi="仿宋" w:eastAsia="仿宋" w:cs="仿宋"/>
          <w:kern w:val="0"/>
          <w:sz w:val="32"/>
          <w:szCs w:val="32"/>
        </w:rPr>
        <w:t>万元，项目支出</w:t>
      </w:r>
      <w:r>
        <w:rPr>
          <w:rFonts w:hint="eastAsia" w:ascii="仿宋" w:hAnsi="仿宋" w:eastAsia="仿宋" w:cs="仿宋"/>
          <w:kern w:val="0"/>
          <w:sz w:val="32"/>
          <w:szCs w:val="32"/>
          <w:lang w:val="en-US" w:eastAsia="zh-CN"/>
        </w:rPr>
        <w:t>610.08</w:t>
      </w:r>
      <w:r>
        <w:rPr>
          <w:rFonts w:hint="eastAsia" w:ascii="仿宋" w:hAnsi="仿宋" w:eastAsia="仿宋" w:cs="仿宋"/>
          <w:kern w:val="0"/>
          <w:sz w:val="32"/>
          <w:szCs w:val="32"/>
        </w:rPr>
        <w:t>万元。</w:t>
      </w:r>
    </w:p>
    <w:p>
      <w:pPr>
        <w:widowControl/>
        <w:tabs>
          <w:tab w:val="left" w:pos="5565"/>
        </w:tabs>
        <w:spacing w:before="100" w:after="100" w:line="560" w:lineRule="exact"/>
        <w:ind w:firstLine="608" w:firstLineChars="190"/>
        <w:jc w:val="left"/>
        <w:rPr>
          <w:rFonts w:ascii="仿宋" w:hAnsi="仿宋" w:eastAsia="仿宋" w:cs="仿宋"/>
          <w:kern w:val="0"/>
          <w:sz w:val="32"/>
          <w:szCs w:val="32"/>
        </w:rPr>
      </w:pPr>
      <w:r>
        <w:rPr>
          <w:rFonts w:hint="eastAsia" w:ascii="仿宋" w:hAnsi="仿宋" w:eastAsia="仿宋" w:cs="仿宋"/>
          <w:kern w:val="0"/>
          <w:sz w:val="32"/>
          <w:szCs w:val="32"/>
        </w:rPr>
        <w:t>基本支出包括：工资福利支出</w:t>
      </w:r>
      <w:r>
        <w:rPr>
          <w:rFonts w:hint="eastAsia" w:ascii="仿宋" w:hAnsi="仿宋" w:eastAsia="仿宋" w:cs="仿宋"/>
          <w:kern w:val="0"/>
          <w:sz w:val="32"/>
          <w:szCs w:val="32"/>
          <w:lang w:val="en-US" w:eastAsia="zh-CN"/>
        </w:rPr>
        <w:t>197.66</w:t>
      </w:r>
      <w:r>
        <w:rPr>
          <w:rFonts w:hint="eastAsia" w:ascii="仿宋" w:hAnsi="仿宋" w:eastAsia="仿宋" w:cs="仿宋"/>
          <w:kern w:val="0"/>
          <w:sz w:val="32"/>
          <w:szCs w:val="32"/>
        </w:rPr>
        <w:t>万元</w:t>
      </w:r>
      <w:r>
        <w:rPr>
          <w:rFonts w:hint="eastAsia" w:ascii="仿宋" w:hAnsi="仿宋" w:eastAsia="仿宋" w:cs="仿宋"/>
          <w:sz w:val="32"/>
          <w:szCs w:val="32"/>
        </w:rPr>
        <w:t>，占比</w:t>
      </w:r>
      <w:r>
        <w:rPr>
          <w:rFonts w:hint="eastAsia" w:ascii="仿宋" w:hAnsi="仿宋" w:eastAsia="仿宋" w:cs="仿宋"/>
          <w:sz w:val="32"/>
          <w:szCs w:val="32"/>
          <w:lang w:val="en-US" w:eastAsia="zh-CN"/>
        </w:rPr>
        <w:t>72.09</w:t>
      </w:r>
      <w:r>
        <w:rPr>
          <w:rFonts w:hint="eastAsia" w:ascii="仿宋" w:hAnsi="仿宋" w:eastAsia="仿宋" w:cs="仿宋"/>
          <w:sz w:val="32"/>
          <w:szCs w:val="32"/>
        </w:rPr>
        <w:t>%；</w:t>
      </w:r>
      <w:r>
        <w:rPr>
          <w:rFonts w:hint="eastAsia" w:ascii="仿宋" w:hAnsi="仿宋" w:eastAsia="仿宋" w:cs="仿宋"/>
          <w:kern w:val="0"/>
          <w:sz w:val="32"/>
          <w:szCs w:val="32"/>
        </w:rPr>
        <w:t>一般商品和服务支出</w:t>
      </w:r>
      <w:r>
        <w:rPr>
          <w:rFonts w:hint="eastAsia" w:ascii="仿宋" w:hAnsi="仿宋" w:eastAsia="仿宋" w:cs="仿宋"/>
          <w:kern w:val="0"/>
          <w:sz w:val="32"/>
          <w:szCs w:val="32"/>
          <w:lang w:val="en-US" w:eastAsia="zh-CN"/>
        </w:rPr>
        <w:t>52.08</w:t>
      </w:r>
      <w:r>
        <w:rPr>
          <w:rFonts w:hint="eastAsia" w:ascii="仿宋" w:hAnsi="仿宋" w:eastAsia="仿宋" w:cs="仿宋"/>
          <w:kern w:val="0"/>
          <w:sz w:val="32"/>
          <w:szCs w:val="32"/>
        </w:rPr>
        <w:t>万元</w:t>
      </w:r>
      <w:r>
        <w:rPr>
          <w:rFonts w:hint="eastAsia" w:ascii="仿宋" w:hAnsi="仿宋" w:eastAsia="仿宋" w:cs="仿宋"/>
          <w:sz w:val="32"/>
          <w:szCs w:val="32"/>
        </w:rPr>
        <w:t>，占比</w:t>
      </w:r>
      <w:r>
        <w:rPr>
          <w:rFonts w:hint="eastAsia" w:ascii="仿宋" w:hAnsi="仿宋" w:eastAsia="仿宋" w:cs="仿宋"/>
          <w:sz w:val="32"/>
          <w:szCs w:val="32"/>
          <w:lang w:val="en-US" w:eastAsia="zh-CN"/>
        </w:rPr>
        <w:t>19</w:t>
      </w:r>
      <w:r>
        <w:rPr>
          <w:rFonts w:hint="eastAsia" w:ascii="仿宋" w:hAnsi="仿宋" w:eastAsia="仿宋" w:cs="仿宋"/>
          <w:sz w:val="32"/>
          <w:szCs w:val="32"/>
        </w:rPr>
        <w:t>%；</w:t>
      </w:r>
      <w:r>
        <w:rPr>
          <w:rFonts w:hint="eastAsia" w:ascii="仿宋" w:hAnsi="仿宋" w:eastAsia="仿宋" w:cs="仿宋"/>
          <w:kern w:val="0"/>
          <w:sz w:val="32"/>
          <w:szCs w:val="32"/>
        </w:rPr>
        <w:t>对个人和家庭的补助支出</w:t>
      </w:r>
      <w:r>
        <w:rPr>
          <w:rFonts w:hint="eastAsia" w:ascii="仿宋" w:hAnsi="仿宋" w:eastAsia="仿宋" w:cs="仿宋"/>
          <w:kern w:val="0"/>
          <w:sz w:val="32"/>
          <w:szCs w:val="32"/>
          <w:lang w:val="en-US" w:eastAsia="zh-CN"/>
        </w:rPr>
        <w:t>24.44</w:t>
      </w:r>
      <w:r>
        <w:rPr>
          <w:rFonts w:hint="eastAsia" w:ascii="仿宋" w:hAnsi="仿宋" w:eastAsia="仿宋" w:cs="仿宋"/>
          <w:kern w:val="0"/>
          <w:sz w:val="32"/>
          <w:szCs w:val="32"/>
        </w:rPr>
        <w:t>万元</w:t>
      </w:r>
      <w:r>
        <w:rPr>
          <w:rFonts w:hint="eastAsia" w:ascii="仿宋" w:hAnsi="仿宋" w:eastAsia="仿宋" w:cs="仿宋"/>
          <w:sz w:val="32"/>
          <w:szCs w:val="32"/>
        </w:rPr>
        <w:t>，占比</w:t>
      </w:r>
      <w:r>
        <w:rPr>
          <w:rFonts w:hint="eastAsia" w:ascii="仿宋" w:hAnsi="仿宋" w:eastAsia="仿宋" w:cs="仿宋"/>
          <w:sz w:val="32"/>
          <w:szCs w:val="32"/>
          <w:lang w:val="en-US" w:eastAsia="zh-CN"/>
        </w:rPr>
        <w:t>8.91</w:t>
      </w:r>
      <w:r>
        <w:rPr>
          <w:rFonts w:hint="eastAsia" w:ascii="仿宋" w:hAnsi="仿宋" w:eastAsia="仿宋" w:cs="仿宋"/>
          <w:sz w:val="32"/>
          <w:szCs w:val="32"/>
        </w:rPr>
        <w:t>%</w:t>
      </w:r>
      <w:r>
        <w:rPr>
          <w:rFonts w:hint="eastAsia" w:ascii="仿宋" w:hAnsi="仿宋" w:eastAsia="仿宋" w:cs="仿宋"/>
          <w:kern w:val="0"/>
          <w:sz w:val="32"/>
          <w:szCs w:val="32"/>
        </w:rPr>
        <w:t>。</w:t>
      </w:r>
    </w:p>
    <w:p>
      <w:pPr>
        <w:spacing w:line="600" w:lineRule="exact"/>
        <w:ind w:firstLine="608" w:firstLineChars="190"/>
        <w:rPr>
          <w:rFonts w:ascii="仿宋" w:hAnsi="仿宋" w:eastAsia="仿宋" w:cs="仿宋"/>
          <w:sz w:val="32"/>
          <w:szCs w:val="32"/>
        </w:rPr>
      </w:pPr>
      <w:r>
        <w:rPr>
          <w:rFonts w:hint="eastAsia" w:ascii="仿宋" w:hAnsi="仿宋" w:eastAsia="仿宋" w:cs="仿宋"/>
          <w:sz w:val="32"/>
          <w:szCs w:val="32"/>
        </w:rPr>
        <w:t>项目支出包括：商品服务支出</w:t>
      </w:r>
      <w:r>
        <w:rPr>
          <w:rFonts w:hint="eastAsia" w:ascii="仿宋" w:hAnsi="仿宋" w:eastAsia="仿宋" w:cs="仿宋"/>
          <w:sz w:val="32"/>
          <w:szCs w:val="32"/>
          <w:lang w:val="en-US" w:eastAsia="zh-CN"/>
        </w:rPr>
        <w:t>576.71</w:t>
      </w:r>
      <w:r>
        <w:rPr>
          <w:rFonts w:hint="eastAsia" w:ascii="仿宋" w:hAnsi="仿宋" w:eastAsia="仿宋" w:cs="仿宋"/>
          <w:sz w:val="32"/>
          <w:szCs w:val="32"/>
        </w:rPr>
        <w:t>万元，占比</w:t>
      </w:r>
      <w:r>
        <w:rPr>
          <w:rFonts w:hint="eastAsia" w:ascii="仿宋" w:hAnsi="仿宋" w:eastAsia="仿宋" w:cs="仿宋"/>
          <w:sz w:val="32"/>
          <w:szCs w:val="32"/>
          <w:lang w:val="en-US" w:eastAsia="zh-CN"/>
        </w:rPr>
        <w:t>94.53</w:t>
      </w:r>
      <w:r>
        <w:rPr>
          <w:rFonts w:hint="eastAsia" w:ascii="仿宋" w:hAnsi="仿宋" w:eastAsia="仿宋" w:cs="仿宋"/>
          <w:sz w:val="32"/>
          <w:szCs w:val="32"/>
        </w:rPr>
        <w:t>%；对个人和家庭补助支出</w:t>
      </w:r>
      <w:r>
        <w:rPr>
          <w:rFonts w:hint="eastAsia" w:ascii="仿宋" w:hAnsi="仿宋" w:eastAsia="仿宋" w:cs="仿宋"/>
          <w:sz w:val="32"/>
          <w:szCs w:val="32"/>
          <w:lang w:val="en-US" w:eastAsia="zh-CN"/>
        </w:rPr>
        <w:t>31.37</w:t>
      </w:r>
      <w:r>
        <w:rPr>
          <w:rFonts w:hint="eastAsia" w:ascii="仿宋" w:hAnsi="仿宋" w:eastAsia="仿宋" w:cs="仿宋"/>
          <w:sz w:val="32"/>
          <w:szCs w:val="32"/>
        </w:rPr>
        <w:t>万元，占比</w:t>
      </w:r>
      <w:r>
        <w:rPr>
          <w:rFonts w:hint="eastAsia" w:ascii="仿宋" w:hAnsi="仿宋" w:eastAsia="仿宋" w:cs="仿宋"/>
          <w:sz w:val="32"/>
          <w:szCs w:val="32"/>
          <w:lang w:val="en-US" w:eastAsia="zh-CN"/>
        </w:rPr>
        <w:t>5.14</w:t>
      </w:r>
      <w:r>
        <w:rPr>
          <w:rFonts w:hint="eastAsia" w:ascii="仿宋" w:hAnsi="仿宋" w:eastAsia="仿宋" w:cs="仿宋"/>
          <w:sz w:val="32"/>
          <w:szCs w:val="32"/>
        </w:rPr>
        <w:t>%；对企业补助</w:t>
      </w:r>
      <w:r>
        <w:rPr>
          <w:rFonts w:hint="eastAsia" w:ascii="仿宋" w:hAnsi="仿宋" w:eastAsia="仿宋" w:cs="仿宋"/>
          <w:sz w:val="32"/>
          <w:szCs w:val="32"/>
          <w:lang w:val="en-US" w:eastAsia="zh-CN"/>
        </w:rPr>
        <w:t>2</w:t>
      </w:r>
      <w:r>
        <w:rPr>
          <w:rFonts w:hint="eastAsia" w:ascii="仿宋" w:hAnsi="仿宋" w:eastAsia="仿宋" w:cs="仿宋"/>
          <w:sz w:val="32"/>
          <w:szCs w:val="32"/>
        </w:rPr>
        <w:t>万元，占比</w:t>
      </w:r>
      <w:r>
        <w:rPr>
          <w:rFonts w:hint="eastAsia" w:ascii="仿宋" w:hAnsi="仿宋" w:eastAsia="仿宋" w:cs="仿宋"/>
          <w:sz w:val="32"/>
          <w:szCs w:val="32"/>
          <w:lang w:val="en-US" w:eastAsia="zh-CN"/>
        </w:rPr>
        <w:t>0.33</w:t>
      </w:r>
      <w:r>
        <w:rPr>
          <w:rFonts w:hint="eastAsia" w:ascii="仿宋" w:hAnsi="仿宋" w:eastAsia="仿宋" w:cs="仿宋"/>
          <w:sz w:val="32"/>
          <w:szCs w:val="32"/>
        </w:rPr>
        <w:t>%。</w:t>
      </w:r>
    </w:p>
    <w:p>
      <w:pPr>
        <w:spacing w:line="600" w:lineRule="exact"/>
        <w:ind w:firstLine="608" w:firstLineChars="190"/>
        <w:rPr>
          <w:rFonts w:ascii="楷体" w:hAnsi="楷体" w:eastAsia="楷体" w:cs="仿宋"/>
          <w:sz w:val="32"/>
          <w:szCs w:val="32"/>
        </w:rPr>
      </w:pPr>
      <w:r>
        <w:rPr>
          <w:rFonts w:hint="eastAsia" w:ascii="楷体" w:hAnsi="楷体" w:eastAsia="楷体" w:cs="仿宋"/>
          <w:sz w:val="32"/>
          <w:szCs w:val="32"/>
        </w:rPr>
        <w:t>（二）202</w:t>
      </w:r>
      <w:r>
        <w:rPr>
          <w:rFonts w:hint="eastAsia" w:ascii="楷体" w:hAnsi="楷体" w:eastAsia="楷体" w:cs="仿宋"/>
          <w:sz w:val="32"/>
          <w:szCs w:val="32"/>
          <w:lang w:val="en-US" w:eastAsia="zh-CN"/>
        </w:rPr>
        <w:t>4</w:t>
      </w:r>
      <w:r>
        <w:rPr>
          <w:rFonts w:hint="eastAsia" w:ascii="楷体" w:hAnsi="楷体" w:eastAsia="楷体" w:cs="仿宋"/>
          <w:sz w:val="32"/>
          <w:szCs w:val="32"/>
        </w:rPr>
        <w:t>年部门预算收支决算情况</w:t>
      </w:r>
    </w:p>
    <w:p>
      <w:pPr>
        <w:spacing w:line="640" w:lineRule="exact"/>
        <w:ind w:firstLine="608" w:firstLineChars="19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年一般公共预算财政拨款总收入</w:t>
      </w:r>
      <w:r>
        <w:rPr>
          <w:rFonts w:hint="eastAsia" w:ascii="仿宋" w:hAnsi="仿宋" w:eastAsia="仿宋" w:cs="仿宋"/>
          <w:sz w:val="32"/>
          <w:szCs w:val="32"/>
          <w:lang w:val="en-US" w:eastAsia="zh-CN"/>
        </w:rPr>
        <w:t>791.67</w:t>
      </w:r>
      <w:r>
        <w:rPr>
          <w:rFonts w:hint="eastAsia" w:ascii="仿宋" w:hAnsi="仿宋" w:eastAsia="仿宋" w:cs="仿宋"/>
          <w:sz w:val="32"/>
          <w:szCs w:val="32"/>
        </w:rPr>
        <w:t>万元，占财政拨款总收入的</w:t>
      </w:r>
      <w:r>
        <w:rPr>
          <w:rFonts w:hint="eastAsia" w:ascii="仿宋" w:hAnsi="仿宋" w:eastAsia="仿宋" w:cs="仿宋"/>
          <w:sz w:val="32"/>
          <w:szCs w:val="32"/>
          <w:lang w:val="en-US" w:eastAsia="zh-CN"/>
        </w:rPr>
        <w:t>89.53</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政府性基金预算拨款</w:t>
      </w:r>
      <w:r>
        <w:rPr>
          <w:rFonts w:hint="eastAsia" w:ascii="仿宋" w:hAnsi="仿宋" w:eastAsia="仿宋" w:cs="仿宋"/>
          <w:sz w:val="32"/>
          <w:szCs w:val="32"/>
          <w:lang w:val="en-US" w:eastAsia="zh-CN"/>
        </w:rPr>
        <w:t>92.58</w:t>
      </w:r>
      <w:r>
        <w:rPr>
          <w:rFonts w:hint="eastAsia" w:ascii="仿宋" w:hAnsi="仿宋" w:eastAsia="仿宋" w:cs="仿宋"/>
          <w:sz w:val="32"/>
          <w:szCs w:val="32"/>
        </w:rPr>
        <w:t>万元，占财政拨款收入的1</w:t>
      </w:r>
      <w:r>
        <w:rPr>
          <w:rFonts w:hint="eastAsia" w:ascii="仿宋" w:hAnsi="仿宋" w:eastAsia="仿宋" w:cs="仿宋"/>
          <w:sz w:val="32"/>
          <w:szCs w:val="32"/>
          <w:lang w:val="en-US" w:eastAsia="zh-CN"/>
        </w:rPr>
        <w:t>0.47</w:t>
      </w:r>
      <w:r>
        <w:rPr>
          <w:rFonts w:hint="eastAsia" w:ascii="仿宋" w:hAnsi="仿宋" w:eastAsia="仿宋" w:cs="仿宋"/>
          <w:sz w:val="32"/>
          <w:szCs w:val="32"/>
        </w:rPr>
        <w:t>%。</w:t>
      </w:r>
    </w:p>
    <w:p>
      <w:pPr>
        <w:spacing w:line="640" w:lineRule="exact"/>
        <w:ind w:firstLine="608" w:firstLineChars="19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年总支出</w:t>
      </w:r>
      <w:r>
        <w:rPr>
          <w:rFonts w:hint="eastAsia" w:ascii="仿宋" w:hAnsi="仿宋" w:eastAsia="仿宋" w:cs="仿宋"/>
          <w:sz w:val="32"/>
          <w:szCs w:val="32"/>
          <w:lang w:val="en-US" w:eastAsia="zh-CN"/>
        </w:rPr>
        <w:t>884.26</w:t>
      </w:r>
      <w:r>
        <w:rPr>
          <w:rFonts w:hint="eastAsia" w:ascii="仿宋" w:hAnsi="仿宋" w:eastAsia="仿宋" w:cs="仿宋"/>
          <w:sz w:val="32"/>
          <w:szCs w:val="32"/>
        </w:rPr>
        <w:t>万元，比上年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10.43</w:t>
      </w:r>
      <w:r>
        <w:rPr>
          <w:rFonts w:hint="eastAsia" w:ascii="仿宋" w:hAnsi="仿宋" w:eastAsia="仿宋" w:cs="仿宋"/>
          <w:sz w:val="32"/>
          <w:szCs w:val="32"/>
        </w:rPr>
        <w:t>%。支出</w:t>
      </w:r>
      <w:r>
        <w:rPr>
          <w:rFonts w:hint="eastAsia" w:ascii="仿宋" w:hAnsi="仿宋" w:eastAsia="仿宋" w:cs="仿宋"/>
          <w:sz w:val="32"/>
          <w:szCs w:val="32"/>
          <w:lang w:eastAsia="zh-CN"/>
        </w:rPr>
        <w:t>增加</w:t>
      </w:r>
      <w:r>
        <w:rPr>
          <w:rFonts w:hint="eastAsia" w:ascii="仿宋" w:hAnsi="仿宋" w:eastAsia="仿宋" w:cs="仿宋"/>
          <w:sz w:val="32"/>
          <w:szCs w:val="32"/>
        </w:rPr>
        <w:t>的原因主要是1.</w:t>
      </w:r>
      <w:r>
        <w:rPr>
          <w:rFonts w:hint="eastAsia" w:ascii="仿宋" w:hAnsi="仿宋" w:eastAsia="仿宋" w:cs="仿宋"/>
          <w:sz w:val="32"/>
          <w:szCs w:val="32"/>
          <w:lang w:eastAsia="zh-CN"/>
        </w:rPr>
        <w:t>为保障残疾</w:t>
      </w:r>
      <w:bookmarkStart w:id="1" w:name="_GoBack"/>
      <w:bookmarkEnd w:id="1"/>
      <w:r>
        <w:rPr>
          <w:rFonts w:hint="eastAsia" w:ascii="仿宋" w:hAnsi="仿宋" w:eastAsia="仿宋" w:cs="仿宋"/>
          <w:sz w:val="32"/>
          <w:szCs w:val="32"/>
          <w:lang w:eastAsia="zh-CN"/>
        </w:rPr>
        <w:t>儿童康复</w:t>
      </w:r>
      <w:r>
        <w:rPr>
          <w:rFonts w:hint="eastAsia" w:ascii="仿宋" w:hAnsi="仿宋" w:eastAsia="仿宋" w:cs="仿宋"/>
          <w:sz w:val="32"/>
          <w:szCs w:val="32"/>
        </w:rPr>
        <w:t>项目</w:t>
      </w:r>
      <w:r>
        <w:rPr>
          <w:rFonts w:hint="eastAsia" w:ascii="仿宋" w:hAnsi="仿宋" w:eastAsia="仿宋" w:cs="仿宋"/>
          <w:sz w:val="32"/>
          <w:szCs w:val="32"/>
          <w:lang w:eastAsia="zh-CN"/>
        </w:rPr>
        <w:t>顺利开展，增加了项目资金投入</w:t>
      </w:r>
      <w:r>
        <w:rPr>
          <w:rFonts w:hint="eastAsia" w:ascii="仿宋" w:hAnsi="仿宋" w:eastAsia="仿宋" w:cs="仿宋"/>
          <w:sz w:val="32"/>
          <w:szCs w:val="32"/>
        </w:rPr>
        <w:t>；2.</w:t>
      </w:r>
      <w:r>
        <w:rPr>
          <w:rFonts w:hint="eastAsia" w:ascii="仿宋" w:hAnsi="仿宋" w:eastAsia="仿宋" w:cs="仿宋"/>
          <w:sz w:val="32"/>
          <w:szCs w:val="32"/>
          <w:lang w:eastAsia="zh-CN"/>
        </w:rPr>
        <w:t>人员工资的年度调整，工资发放金额增加</w:t>
      </w:r>
      <w:r>
        <w:rPr>
          <w:rFonts w:hint="eastAsia" w:ascii="仿宋" w:hAnsi="仿宋" w:eastAsia="仿宋" w:cs="仿宋"/>
          <w:sz w:val="32"/>
          <w:szCs w:val="32"/>
        </w:rPr>
        <w:t>。</w:t>
      </w:r>
    </w:p>
    <w:p>
      <w:pPr>
        <w:pStyle w:val="2"/>
        <w:rPr>
          <w:rFonts w:hint="eastAsia" w:ascii="仿宋" w:hAnsi="仿宋" w:eastAsia="仿宋" w:cs="仿宋"/>
          <w:sz w:val="32"/>
          <w:szCs w:val="32"/>
        </w:rPr>
      </w:pPr>
    </w:p>
    <w:p/>
    <w:p/>
    <w:tbl>
      <w:tblPr>
        <w:tblStyle w:val="6"/>
        <w:tblW w:w="0" w:type="auto"/>
        <w:tblInd w:w="0" w:type="dxa"/>
        <w:tblLayout w:type="fixed"/>
        <w:tblCellMar>
          <w:top w:w="0" w:type="dxa"/>
          <w:left w:w="0" w:type="dxa"/>
          <w:bottom w:w="0" w:type="dxa"/>
          <w:right w:w="0" w:type="dxa"/>
        </w:tblCellMar>
      </w:tblPr>
      <w:tblGrid>
        <w:gridCol w:w="2112"/>
        <w:gridCol w:w="1447"/>
        <w:gridCol w:w="1118"/>
        <w:gridCol w:w="1290"/>
        <w:gridCol w:w="1530"/>
        <w:gridCol w:w="1650"/>
      </w:tblGrid>
      <w:tr>
        <w:tblPrEx>
          <w:tblCellMar>
            <w:top w:w="0" w:type="dxa"/>
            <w:left w:w="0" w:type="dxa"/>
            <w:bottom w:w="0" w:type="dxa"/>
            <w:right w:w="0" w:type="dxa"/>
          </w:tblCellMar>
        </w:tblPrEx>
        <w:trPr>
          <w:trHeight w:val="285" w:hRule="atLeast"/>
        </w:trPr>
        <w:tc>
          <w:tcPr>
            <w:tcW w:w="9147" w:type="dxa"/>
            <w:gridSpan w:val="6"/>
            <w:tcBorders>
              <w:top w:val="nil"/>
              <w:left w:val="nil"/>
              <w:bottom w:val="nil"/>
              <w:right w:val="nil"/>
            </w:tcBorders>
            <w:noWrap/>
            <w:tcMar>
              <w:top w:w="15" w:type="dxa"/>
              <w:left w:w="15" w:type="dxa"/>
              <w:right w:w="15" w:type="dxa"/>
            </w:tcMar>
            <w:vAlign w:val="center"/>
          </w:tcPr>
          <w:p>
            <w:pPr>
              <w:widowControl/>
              <w:ind w:firstLine="456" w:firstLineChars="190"/>
              <w:jc w:val="right"/>
              <w:textAlignment w:val="center"/>
              <w:rPr>
                <w:rFonts w:ascii="仿宋" w:hAnsi="仿宋" w:eastAsia="仿宋" w:cs="仿宋"/>
                <w:color w:val="000000"/>
                <w:sz w:val="24"/>
                <w:szCs w:val="24"/>
              </w:rPr>
            </w:pPr>
          </w:p>
          <w:p>
            <w:pPr>
              <w:widowControl/>
              <w:ind w:firstLine="456" w:firstLineChars="190"/>
              <w:jc w:val="right"/>
              <w:textAlignment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70" w:hRule="atLeast"/>
        </w:trPr>
        <w:tc>
          <w:tcPr>
            <w:tcW w:w="21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财政供养人员情况</w:t>
            </w:r>
          </w:p>
        </w:tc>
        <w:tc>
          <w:tcPr>
            <w:tcW w:w="144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编制数</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在职人数</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控制率</w:t>
            </w:r>
          </w:p>
        </w:tc>
        <w:tc>
          <w:tcPr>
            <w:tcW w:w="15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202</w:t>
            </w:r>
            <w:r>
              <w:rPr>
                <w:rFonts w:hint="eastAsia" w:ascii="仿宋" w:hAnsi="仿宋" w:eastAsia="仿宋" w:cs="仿宋"/>
                <w:color w:val="000000"/>
                <w:kern w:val="0"/>
                <w:sz w:val="24"/>
                <w:szCs w:val="24"/>
                <w:lang w:val="en-US" w:eastAsia="zh-CN" w:bidi="ar"/>
              </w:rPr>
              <w:t>3</w:t>
            </w:r>
            <w:r>
              <w:rPr>
                <w:rFonts w:hint="eastAsia" w:ascii="仿宋" w:hAnsi="仿宋" w:eastAsia="仿宋" w:cs="仿宋"/>
                <w:color w:val="000000"/>
                <w:kern w:val="0"/>
                <w:sz w:val="24"/>
                <w:szCs w:val="24"/>
                <w:lang w:bidi="ar"/>
              </w:rPr>
              <w:t>与202</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决算分析对比</w:t>
            </w:r>
          </w:p>
        </w:tc>
        <w:tc>
          <w:tcPr>
            <w:tcW w:w="16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202</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预算与决算分析对比</w:t>
            </w:r>
          </w:p>
        </w:tc>
      </w:tr>
      <w:tr>
        <w:tblPrEx>
          <w:tblCellMar>
            <w:top w:w="0" w:type="dxa"/>
            <w:left w:w="0" w:type="dxa"/>
            <w:bottom w:w="0" w:type="dxa"/>
            <w:right w:w="0" w:type="dxa"/>
          </w:tblCellMar>
        </w:tblPrEx>
        <w:trPr>
          <w:trHeight w:val="290" w:hRule="atLeast"/>
        </w:trPr>
        <w:tc>
          <w:tcPr>
            <w:tcW w:w="21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1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100%</w:t>
            </w:r>
          </w:p>
        </w:tc>
        <w:tc>
          <w:tcPr>
            <w:tcW w:w="1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569"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经费控制情况</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Style w:val="9"/>
                <w:rFonts w:ascii="仿宋" w:hAnsi="仿宋" w:eastAsia="仿宋" w:cs="仿宋"/>
                <w:sz w:val="24"/>
                <w:szCs w:val="24"/>
                <w:lang w:bidi="ar"/>
              </w:rPr>
              <w:t>202</w:t>
            </w:r>
            <w:r>
              <w:rPr>
                <w:rStyle w:val="9"/>
                <w:rFonts w:hint="eastAsia" w:ascii="仿宋" w:hAnsi="仿宋" w:eastAsia="仿宋" w:cs="仿宋"/>
                <w:sz w:val="24"/>
                <w:szCs w:val="24"/>
                <w:lang w:val="en-US" w:eastAsia="zh-CN" w:bidi="ar"/>
              </w:rPr>
              <w:t>3</w:t>
            </w:r>
            <w:r>
              <w:rPr>
                <w:rStyle w:val="9"/>
                <w:rFonts w:ascii="仿宋" w:hAnsi="仿宋" w:eastAsia="仿宋" w:cs="仿宋"/>
                <w:sz w:val="24"/>
                <w:szCs w:val="24"/>
                <w:lang w:bidi="ar"/>
              </w:rPr>
              <w:t>年决算数</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Style w:val="9"/>
                <w:rFonts w:ascii="仿宋" w:hAnsi="仿宋" w:eastAsia="仿宋" w:cs="仿宋"/>
                <w:sz w:val="24"/>
                <w:szCs w:val="24"/>
                <w:lang w:bidi="ar"/>
              </w:rPr>
              <w:t>202</w:t>
            </w:r>
            <w:r>
              <w:rPr>
                <w:rStyle w:val="9"/>
                <w:rFonts w:hint="eastAsia" w:ascii="仿宋" w:hAnsi="仿宋" w:eastAsia="仿宋" w:cs="仿宋"/>
                <w:sz w:val="24"/>
                <w:szCs w:val="24"/>
                <w:lang w:val="en-US" w:eastAsia="zh-CN" w:bidi="ar"/>
              </w:rPr>
              <w:t>4</w:t>
            </w:r>
            <w:r>
              <w:rPr>
                <w:rStyle w:val="9"/>
                <w:rFonts w:ascii="仿宋" w:hAnsi="仿宋" w:eastAsia="仿宋" w:cs="仿宋"/>
                <w:sz w:val="24"/>
                <w:szCs w:val="24"/>
                <w:lang w:bidi="ar"/>
              </w:rPr>
              <w:t>年预算数</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Style w:val="9"/>
                <w:rFonts w:ascii="仿宋" w:hAnsi="仿宋" w:eastAsia="仿宋" w:cs="仿宋"/>
                <w:sz w:val="24"/>
                <w:szCs w:val="24"/>
                <w:lang w:bidi="ar"/>
              </w:rPr>
              <w:t>202</w:t>
            </w:r>
            <w:r>
              <w:rPr>
                <w:rStyle w:val="9"/>
                <w:rFonts w:hint="eastAsia" w:ascii="仿宋" w:hAnsi="仿宋" w:eastAsia="仿宋" w:cs="仿宋"/>
                <w:sz w:val="24"/>
                <w:szCs w:val="24"/>
                <w:lang w:val="en-US" w:eastAsia="zh-CN" w:bidi="ar"/>
              </w:rPr>
              <w:t>4</w:t>
            </w:r>
            <w:r>
              <w:rPr>
                <w:rStyle w:val="9"/>
                <w:rFonts w:ascii="仿宋" w:hAnsi="仿宋" w:eastAsia="仿宋" w:cs="仿宋"/>
                <w:sz w:val="24"/>
                <w:szCs w:val="24"/>
                <w:lang w:bidi="ar"/>
              </w:rPr>
              <w:t>年决算数</w:t>
            </w:r>
          </w:p>
        </w:tc>
        <w:tc>
          <w:tcPr>
            <w:tcW w:w="1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66"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基本支出</w:t>
            </w:r>
          </w:p>
        </w:tc>
        <w:tc>
          <w:tcPr>
            <w:tcW w:w="1447" w:type="dxa"/>
            <w:tcBorders>
              <w:top w:val="single" w:color="000000" w:sz="4" w:space="0"/>
              <w:left w:val="single" w:color="000000" w:sz="4" w:space="0"/>
              <w:bottom w:val="single" w:color="000000" w:sz="4" w:space="0"/>
              <w:right w:val="nil"/>
            </w:tcBorders>
            <w:tcMar>
              <w:top w:w="15" w:type="dxa"/>
              <w:left w:w="15" w:type="dxa"/>
              <w:right w:w="15" w:type="dxa"/>
            </w:tcMar>
            <w:vAlign w:val="bottom"/>
          </w:tcPr>
          <w:p>
            <w:pPr>
              <w:widowControl/>
              <w:jc w:val="center"/>
              <w:textAlignment w:val="bottom"/>
              <w:rPr>
                <w:rFonts w:hint="default" w:ascii="仿宋" w:hAnsi="仿宋" w:eastAsia="仿宋" w:cs="仿宋"/>
                <w:b/>
                <w:bCs/>
                <w:color w:val="000000"/>
                <w:sz w:val="24"/>
                <w:szCs w:val="24"/>
                <w:lang w:val="en-US" w:eastAsia="zh-CN"/>
              </w:rPr>
            </w:pPr>
            <w:r>
              <w:rPr>
                <w:rFonts w:hint="eastAsia" w:ascii="仿宋" w:hAnsi="仿宋" w:eastAsia="仿宋" w:cs="仿宋"/>
                <w:b/>
                <w:bCs/>
                <w:color w:val="000000"/>
                <w:kern w:val="0"/>
                <w:sz w:val="24"/>
                <w:szCs w:val="24"/>
                <w:lang w:val="en-US" w:eastAsia="zh-CN" w:bidi="ar"/>
              </w:rPr>
              <w:t>264.69</w:t>
            </w:r>
          </w:p>
        </w:tc>
        <w:tc>
          <w:tcPr>
            <w:tcW w:w="1118" w:type="dxa"/>
            <w:tcBorders>
              <w:top w:val="single" w:color="000000" w:sz="4" w:space="0"/>
              <w:left w:val="single" w:color="000000" w:sz="4" w:space="0"/>
              <w:bottom w:val="single" w:color="000000" w:sz="4" w:space="0"/>
              <w:right w:val="nil"/>
            </w:tcBorders>
            <w:tcMar>
              <w:top w:w="15" w:type="dxa"/>
              <w:left w:w="15" w:type="dxa"/>
              <w:right w:w="15" w:type="dxa"/>
            </w:tcMar>
            <w:vAlign w:val="bottom"/>
          </w:tcPr>
          <w:p>
            <w:pPr>
              <w:widowControl/>
              <w:jc w:val="center"/>
              <w:textAlignment w:val="bottom"/>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255.59</w:t>
            </w:r>
          </w:p>
        </w:tc>
        <w:tc>
          <w:tcPr>
            <w:tcW w:w="1290" w:type="dxa"/>
            <w:tcBorders>
              <w:top w:val="single" w:color="000000" w:sz="4" w:space="0"/>
              <w:left w:val="single" w:color="000000" w:sz="4" w:space="0"/>
              <w:bottom w:val="single" w:color="000000" w:sz="4" w:space="0"/>
              <w:right w:val="nil"/>
            </w:tcBorders>
            <w:tcMar>
              <w:top w:w="15" w:type="dxa"/>
              <w:left w:w="15" w:type="dxa"/>
              <w:right w:w="15" w:type="dxa"/>
            </w:tcMar>
            <w:vAlign w:val="bottom"/>
          </w:tcPr>
          <w:p>
            <w:pPr>
              <w:widowControl/>
              <w:jc w:val="center"/>
              <w:textAlignment w:val="bottom"/>
              <w:rPr>
                <w:rFonts w:hint="default" w:ascii="仿宋" w:hAnsi="仿宋" w:eastAsia="仿宋" w:cs="仿宋"/>
                <w:b/>
                <w:bCs/>
                <w:color w:val="000000"/>
                <w:sz w:val="24"/>
                <w:szCs w:val="24"/>
                <w:lang w:val="en-US" w:eastAsia="zh-CN"/>
              </w:rPr>
            </w:pPr>
            <w:r>
              <w:rPr>
                <w:rFonts w:hint="eastAsia" w:ascii="仿宋" w:hAnsi="仿宋" w:eastAsia="仿宋" w:cs="仿宋"/>
                <w:b/>
                <w:bCs/>
                <w:color w:val="000000"/>
                <w:kern w:val="0"/>
                <w:sz w:val="24"/>
                <w:szCs w:val="24"/>
                <w:lang w:val="en-US" w:eastAsia="zh-CN" w:bidi="ar"/>
              </w:rPr>
              <w:t>274.18</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3.58</w:t>
            </w:r>
            <w:r>
              <w:rPr>
                <w:rFonts w:hint="eastAsia" w:ascii="仿宋" w:hAnsi="仿宋" w:eastAsia="仿宋" w:cs="仿宋"/>
                <w:b/>
                <w:bCs/>
                <w:color w:val="000000"/>
                <w:kern w:val="0"/>
                <w:sz w:val="24"/>
                <w:szCs w:val="24"/>
                <w:lang w:bidi="ar"/>
              </w:rPr>
              <w:t>%</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7.27</w:t>
            </w:r>
            <w:r>
              <w:rPr>
                <w:rFonts w:hint="eastAsia" w:ascii="仿宋" w:hAnsi="仿宋" w:eastAsia="仿宋" w:cs="仿宋"/>
                <w:b/>
                <w:bCs/>
                <w:color w:val="000000"/>
                <w:kern w:val="0"/>
                <w:sz w:val="24"/>
                <w:szCs w:val="24"/>
                <w:lang w:bidi="ar"/>
              </w:rPr>
              <w:t>%</w:t>
            </w:r>
          </w:p>
        </w:tc>
      </w:tr>
      <w:tr>
        <w:tblPrEx>
          <w:tblCellMar>
            <w:top w:w="0" w:type="dxa"/>
            <w:left w:w="0" w:type="dxa"/>
            <w:bottom w:w="0" w:type="dxa"/>
            <w:right w:w="0" w:type="dxa"/>
          </w:tblCellMar>
        </w:tblPrEx>
        <w:trPr>
          <w:trHeight w:val="285"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b/>
                <w:color w:val="000000"/>
                <w:sz w:val="24"/>
                <w:szCs w:val="24"/>
              </w:rPr>
            </w:pPr>
            <w:r>
              <w:rPr>
                <w:rFonts w:hint="eastAsia" w:ascii="仿宋" w:hAnsi="仿宋" w:eastAsia="仿宋" w:cs="仿宋"/>
                <w:bCs/>
                <w:color w:val="000000"/>
                <w:kern w:val="0"/>
                <w:sz w:val="24"/>
                <w:szCs w:val="24"/>
                <w:lang w:bidi="ar"/>
              </w:rPr>
              <w:t>其中：三公经费</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val="en-US" w:eastAsia="zh-CN" w:bidi="ar"/>
              </w:rPr>
              <w:t>0</w:t>
            </w:r>
          </w:p>
        </w:tc>
      </w:tr>
      <w:tr>
        <w:tblPrEx>
          <w:tblCellMar>
            <w:top w:w="0" w:type="dxa"/>
            <w:left w:w="0" w:type="dxa"/>
            <w:bottom w:w="0" w:type="dxa"/>
            <w:right w:w="0" w:type="dxa"/>
          </w:tblCellMar>
        </w:tblPrEx>
        <w:trPr>
          <w:trHeight w:val="285"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1、公车运行维护</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r>
      <w:tr>
        <w:tblPrEx>
          <w:tblCellMar>
            <w:top w:w="0" w:type="dxa"/>
            <w:left w:w="0" w:type="dxa"/>
            <w:bottom w:w="0" w:type="dxa"/>
            <w:right w:w="0" w:type="dxa"/>
          </w:tblCellMar>
        </w:tblPrEx>
        <w:trPr>
          <w:trHeight w:val="285"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color w:val="000000"/>
                <w:sz w:val="24"/>
                <w:szCs w:val="24"/>
              </w:rPr>
            </w:pPr>
            <w:r>
              <w:rPr>
                <w:rStyle w:val="9"/>
                <w:rFonts w:ascii="仿宋" w:hAnsi="仿宋" w:eastAsia="仿宋" w:cs="仿宋"/>
                <w:sz w:val="24"/>
                <w:szCs w:val="24"/>
                <w:lang w:bidi="ar"/>
              </w:rPr>
              <w:t xml:space="preserve">   2、出国经费</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r>
      <w:tr>
        <w:tblPrEx>
          <w:tblCellMar>
            <w:top w:w="0" w:type="dxa"/>
            <w:left w:w="0" w:type="dxa"/>
            <w:bottom w:w="0" w:type="dxa"/>
            <w:right w:w="0" w:type="dxa"/>
          </w:tblCellMar>
        </w:tblPrEx>
        <w:trPr>
          <w:trHeight w:val="285"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color w:val="000000"/>
                <w:sz w:val="24"/>
                <w:szCs w:val="24"/>
              </w:rPr>
            </w:pPr>
            <w:r>
              <w:rPr>
                <w:rStyle w:val="9"/>
                <w:rFonts w:ascii="仿宋" w:hAnsi="仿宋" w:eastAsia="仿宋" w:cs="仿宋"/>
                <w:sz w:val="24"/>
                <w:szCs w:val="24"/>
                <w:lang w:bidi="ar"/>
              </w:rPr>
              <w:t xml:space="preserve">   3、公务接待</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r>
      <w:tr>
        <w:tblPrEx>
          <w:tblCellMar>
            <w:top w:w="0" w:type="dxa"/>
            <w:left w:w="0" w:type="dxa"/>
            <w:bottom w:w="0" w:type="dxa"/>
            <w:right w:w="0" w:type="dxa"/>
          </w:tblCellMar>
        </w:tblPrEx>
        <w:trPr>
          <w:trHeight w:val="285"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 xml:space="preserve">     </w:t>
            </w:r>
            <w:r>
              <w:rPr>
                <w:rFonts w:hint="eastAsia" w:ascii="仿宋" w:hAnsi="仿宋" w:eastAsia="仿宋" w:cs="仿宋"/>
                <w:bCs/>
                <w:color w:val="000000"/>
                <w:kern w:val="0"/>
                <w:sz w:val="24"/>
                <w:szCs w:val="24"/>
                <w:lang w:bidi="ar"/>
              </w:rPr>
              <w:t>公用经费</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49.69</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42.58</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52.08</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4.81</w:t>
            </w:r>
            <w:r>
              <w:rPr>
                <w:rFonts w:hint="eastAsia" w:ascii="仿宋" w:hAnsi="仿宋" w:eastAsia="仿宋" w:cs="仿宋"/>
                <w:color w:val="000000"/>
                <w:kern w:val="0"/>
                <w:sz w:val="24"/>
                <w:szCs w:val="24"/>
                <w:lang w:bidi="ar"/>
              </w:rPr>
              <w:t>%</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22.31</w:t>
            </w:r>
            <w:r>
              <w:rPr>
                <w:rFonts w:hint="eastAsia" w:ascii="仿宋" w:hAnsi="仿宋" w:eastAsia="仿宋" w:cs="仿宋"/>
                <w:color w:val="000000"/>
                <w:kern w:val="0"/>
                <w:sz w:val="24"/>
                <w:szCs w:val="24"/>
                <w:lang w:bidi="ar"/>
              </w:rPr>
              <w:t>%</w:t>
            </w:r>
          </w:p>
        </w:tc>
      </w:tr>
      <w:tr>
        <w:tblPrEx>
          <w:tblCellMar>
            <w:top w:w="0" w:type="dxa"/>
            <w:left w:w="0" w:type="dxa"/>
            <w:bottom w:w="0" w:type="dxa"/>
            <w:right w:w="0" w:type="dxa"/>
          </w:tblCellMar>
        </w:tblPrEx>
        <w:trPr>
          <w:trHeight w:val="285"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项目支出：</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535.99</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0</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610.08</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color w:val="000000"/>
                <w:sz w:val="24"/>
                <w:szCs w:val="24"/>
              </w:rPr>
            </w:pPr>
            <w:r>
              <w:rPr>
                <w:rFonts w:hint="eastAsia" w:ascii="仿宋" w:hAnsi="仿宋" w:eastAsia="仿宋" w:cs="仿宋"/>
                <w:b/>
                <w:color w:val="000000"/>
                <w:sz w:val="24"/>
                <w:szCs w:val="24"/>
                <w:lang w:val="en-US" w:eastAsia="zh-CN"/>
              </w:rPr>
              <w:t>13.82</w:t>
            </w:r>
            <w:r>
              <w:rPr>
                <w:rFonts w:hint="eastAsia" w:ascii="仿宋" w:hAnsi="仿宋" w:eastAsia="仿宋" w:cs="仿宋"/>
                <w:b/>
                <w:color w:val="000000"/>
                <w:sz w:val="24"/>
                <w:szCs w:val="24"/>
              </w:rPr>
              <w:t>%</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w:t>
            </w:r>
          </w:p>
        </w:tc>
      </w:tr>
      <w:tr>
        <w:tblPrEx>
          <w:tblCellMar>
            <w:top w:w="0" w:type="dxa"/>
            <w:left w:w="0" w:type="dxa"/>
            <w:bottom w:w="0" w:type="dxa"/>
            <w:right w:w="0" w:type="dxa"/>
          </w:tblCellMar>
        </w:tblPrEx>
        <w:trPr>
          <w:trHeight w:val="285"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合计金额</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800.68</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255.59</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884.26</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color w:val="000000"/>
                <w:sz w:val="24"/>
                <w:szCs w:val="24"/>
              </w:rPr>
            </w:pPr>
            <w:r>
              <w:rPr>
                <w:rFonts w:hint="eastAsia" w:ascii="仿宋" w:hAnsi="仿宋" w:eastAsia="仿宋" w:cs="仿宋"/>
                <w:b/>
                <w:color w:val="000000"/>
                <w:sz w:val="24"/>
                <w:szCs w:val="24"/>
                <w:lang w:val="en-US" w:eastAsia="zh-CN"/>
              </w:rPr>
              <w:t>10.43</w:t>
            </w:r>
            <w:r>
              <w:rPr>
                <w:rFonts w:hint="eastAsia" w:ascii="仿宋" w:hAnsi="仿宋" w:eastAsia="仿宋" w:cs="仿宋"/>
                <w:b/>
                <w:color w:val="000000"/>
                <w:sz w:val="24"/>
                <w:szCs w:val="24"/>
              </w:rPr>
              <w:t>%</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color w:val="000000"/>
                <w:sz w:val="24"/>
                <w:szCs w:val="24"/>
              </w:rPr>
            </w:pPr>
            <w:r>
              <w:rPr>
                <w:rFonts w:hint="eastAsia" w:ascii="仿宋" w:hAnsi="仿宋" w:eastAsia="仿宋" w:cs="仿宋"/>
                <w:b/>
                <w:color w:val="000000"/>
                <w:sz w:val="24"/>
                <w:szCs w:val="24"/>
                <w:lang w:val="en-US" w:eastAsia="zh-CN"/>
              </w:rPr>
              <w:t>245.97</w:t>
            </w:r>
            <w:r>
              <w:rPr>
                <w:rFonts w:hint="eastAsia" w:ascii="仿宋" w:hAnsi="仿宋" w:eastAsia="仿宋" w:cs="仿宋"/>
                <w:b/>
                <w:color w:val="000000"/>
                <w:sz w:val="24"/>
                <w:szCs w:val="24"/>
              </w:rPr>
              <w:t>%</w:t>
            </w:r>
          </w:p>
        </w:tc>
      </w:tr>
    </w:tbl>
    <w:p>
      <w:pPr>
        <w:spacing w:line="600" w:lineRule="exact"/>
        <w:ind w:firstLine="608" w:firstLineChars="190"/>
        <w:jc w:val="center"/>
        <w:rPr>
          <w:rFonts w:ascii="仿宋" w:hAnsi="仿宋" w:eastAsia="仿宋" w:cs="仿宋"/>
          <w:sz w:val="32"/>
          <w:szCs w:val="32"/>
        </w:rPr>
      </w:pPr>
      <w:r>
        <w:rPr>
          <w:rFonts w:hint="eastAsia" w:ascii="仿宋" w:hAnsi="仿宋" w:eastAsia="仿宋" w:cs="仿宋"/>
          <w:sz w:val="32"/>
          <w:szCs w:val="32"/>
        </w:rPr>
        <w:t>（表一）</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楷体" w:hAnsi="楷体" w:eastAsia="楷体" w:cs="仿宋"/>
          <w:sz w:val="32"/>
          <w:szCs w:val="32"/>
        </w:rPr>
      </w:pPr>
      <w:r>
        <w:rPr>
          <w:rFonts w:hint="eastAsia" w:ascii="楷体" w:hAnsi="楷体" w:eastAsia="楷体" w:cs="仿宋"/>
          <w:sz w:val="32"/>
          <w:szCs w:val="32"/>
        </w:rPr>
        <w:t>(三)“三公经费”支出使用和管理情况</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根据中央、省、市有关文件精神，我单位严格控制“三公经费”支出，取得</w:t>
      </w:r>
      <w:r>
        <w:rPr>
          <w:rFonts w:hint="eastAsia" w:ascii="仿宋" w:hAnsi="仿宋" w:eastAsia="仿宋" w:cs="仿宋"/>
          <w:sz w:val="32"/>
          <w:szCs w:val="32"/>
          <w:lang w:eastAsia="zh-CN"/>
        </w:rPr>
        <w:t>很</w:t>
      </w:r>
      <w:r>
        <w:rPr>
          <w:rFonts w:hint="eastAsia" w:ascii="仿宋" w:hAnsi="仿宋" w:eastAsia="仿宋" w:cs="仿宋"/>
          <w:sz w:val="32"/>
          <w:szCs w:val="32"/>
        </w:rPr>
        <w:t>好</w:t>
      </w:r>
      <w:r>
        <w:rPr>
          <w:rFonts w:hint="eastAsia" w:ascii="仿宋" w:hAnsi="仿宋" w:eastAsia="仿宋" w:cs="仿宋"/>
          <w:sz w:val="32"/>
          <w:szCs w:val="32"/>
          <w:lang w:eastAsia="zh-CN"/>
        </w:rPr>
        <w:t>的</w:t>
      </w:r>
      <w:r>
        <w:rPr>
          <w:rFonts w:hint="eastAsia" w:ascii="仿宋" w:hAnsi="仿宋" w:eastAsia="仿宋" w:cs="仿宋"/>
          <w:sz w:val="32"/>
          <w:szCs w:val="32"/>
        </w:rPr>
        <w:t>成效。由表一可以看出202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无</w:t>
      </w:r>
      <w:r>
        <w:rPr>
          <w:rFonts w:hint="eastAsia" w:ascii="仿宋" w:hAnsi="仿宋" w:eastAsia="仿宋" w:cs="仿宋"/>
          <w:sz w:val="32"/>
          <w:szCs w:val="32"/>
        </w:rPr>
        <w:t>“三公”经费支出。</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三、部门绩效目标</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楷体" w:hAnsi="楷体" w:eastAsia="楷体" w:cs="仿宋"/>
          <w:sz w:val="32"/>
          <w:szCs w:val="32"/>
        </w:rPr>
      </w:pPr>
      <w:r>
        <w:rPr>
          <w:rFonts w:hint="eastAsia" w:ascii="楷体" w:hAnsi="楷体" w:eastAsia="楷体" w:cs="仿宋"/>
          <w:b/>
          <w:bCs/>
          <w:sz w:val="32"/>
          <w:szCs w:val="32"/>
        </w:rPr>
        <w:t>（一）部门绩效总目标</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是加强残疾人社会保障体系和服务体系建设的关键之年。我区残疾人工作的指导思想和总体要求是:认真贯彻党的二十大有关精神，以科学发展观为统领，以加强残疾人“两个体系”建设为重点，着力为残疾人做好实事、好事，团结引领广大残疾人工作者和残疾人听党话，跟党走，坚持眼睛向下，重点下移，资源下沉，全面完成各项工作任务，推动我区残疾人事业又好又快发展。</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楷体" w:hAnsi="楷体" w:eastAsia="楷体" w:cs="仿宋"/>
          <w:b/>
          <w:bCs/>
          <w:sz w:val="32"/>
          <w:szCs w:val="32"/>
        </w:rPr>
      </w:pPr>
      <w:r>
        <w:rPr>
          <w:rFonts w:hint="eastAsia" w:ascii="楷体" w:hAnsi="楷体" w:eastAsia="楷体" w:cs="仿宋"/>
          <w:b/>
          <w:bCs/>
          <w:sz w:val="32"/>
          <w:szCs w:val="32"/>
        </w:rPr>
        <w:t>（二）202</w:t>
      </w:r>
      <w:r>
        <w:rPr>
          <w:rFonts w:hint="eastAsia" w:ascii="楷体" w:hAnsi="楷体" w:eastAsia="楷体" w:cs="仿宋"/>
          <w:b/>
          <w:bCs/>
          <w:sz w:val="32"/>
          <w:szCs w:val="32"/>
          <w:lang w:val="en-US" w:eastAsia="zh-CN"/>
        </w:rPr>
        <w:t>4</w:t>
      </w:r>
      <w:r>
        <w:rPr>
          <w:rFonts w:hint="eastAsia" w:ascii="楷体" w:hAnsi="楷体" w:eastAsia="楷体" w:cs="仿宋"/>
          <w:b/>
          <w:bCs/>
          <w:sz w:val="32"/>
          <w:szCs w:val="32"/>
        </w:rPr>
        <w:t>年部门绩效目标</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1.数量指标</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(1)提供免费理疗治疗人次</w:t>
      </w:r>
      <w:r>
        <w:rPr>
          <w:rFonts w:hint="eastAsia" w:ascii="仿宋" w:hAnsi="仿宋" w:eastAsia="仿宋" w:cs="仿宋"/>
          <w:sz w:val="32"/>
          <w:szCs w:val="32"/>
          <w:lang w:val="en-US" w:eastAsia="zh-CN"/>
        </w:rPr>
        <w:t>1309</w:t>
      </w:r>
      <w:r>
        <w:rPr>
          <w:rFonts w:hint="eastAsia" w:ascii="仿宋" w:hAnsi="仿宋" w:eastAsia="仿宋" w:cs="仿宋"/>
          <w:sz w:val="32"/>
          <w:szCs w:val="32"/>
        </w:rPr>
        <w:t>人次；</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(2)为残疾儿童（脑瘫、自闭、智力等）提供康复训练人数</w:t>
      </w:r>
      <w:r>
        <w:rPr>
          <w:rFonts w:hint="eastAsia" w:ascii="仿宋" w:hAnsi="仿宋" w:eastAsia="仿宋" w:cs="仿宋"/>
          <w:sz w:val="32"/>
          <w:szCs w:val="32"/>
          <w:highlight w:val="none"/>
          <w:lang w:val="en-US" w:eastAsia="zh-CN"/>
        </w:rPr>
        <w:t>171</w:t>
      </w:r>
      <w:r>
        <w:rPr>
          <w:rFonts w:hint="eastAsia" w:ascii="仿宋" w:hAnsi="仿宋" w:eastAsia="仿宋" w:cs="仿宋"/>
          <w:sz w:val="32"/>
          <w:szCs w:val="32"/>
        </w:rPr>
        <w:t>人次；</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(3)提供残疾人辅助器具</w:t>
      </w:r>
      <w:r>
        <w:rPr>
          <w:rFonts w:hint="eastAsia" w:ascii="仿宋" w:hAnsi="仿宋" w:eastAsia="仿宋" w:cs="仿宋"/>
          <w:sz w:val="32"/>
          <w:szCs w:val="32"/>
          <w:highlight w:val="none"/>
          <w:lang w:val="en-US" w:eastAsia="zh-CN"/>
        </w:rPr>
        <w:t>150</w:t>
      </w:r>
      <w:r>
        <w:rPr>
          <w:rFonts w:hint="eastAsia" w:ascii="仿宋" w:hAnsi="仿宋" w:eastAsia="仿宋" w:cs="仿宋"/>
          <w:sz w:val="32"/>
          <w:szCs w:val="32"/>
        </w:rPr>
        <w:t>件；</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)为残疾人提供免费托养、居家、日间照料服务人次</w:t>
      </w:r>
      <w:r>
        <w:rPr>
          <w:rFonts w:hint="eastAsia" w:ascii="仿宋" w:hAnsi="仿宋" w:eastAsia="仿宋" w:cs="仿宋"/>
          <w:sz w:val="32"/>
          <w:szCs w:val="32"/>
          <w:highlight w:val="none"/>
          <w:lang w:val="en-US" w:eastAsia="zh-CN"/>
        </w:rPr>
        <w:t>190</w:t>
      </w:r>
      <w:r>
        <w:rPr>
          <w:rFonts w:hint="eastAsia" w:ascii="仿宋" w:hAnsi="仿宋" w:eastAsia="仿宋" w:cs="仿宋"/>
          <w:sz w:val="32"/>
          <w:szCs w:val="32"/>
        </w:rPr>
        <w:t>人次；</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)无障碍改造</w:t>
      </w:r>
      <w:r>
        <w:rPr>
          <w:rFonts w:hint="eastAsia" w:ascii="仿宋" w:hAnsi="仿宋" w:eastAsia="仿宋" w:cs="仿宋"/>
          <w:sz w:val="32"/>
          <w:szCs w:val="32"/>
          <w:highlight w:val="none"/>
          <w:lang w:val="en-US" w:eastAsia="zh-CN"/>
        </w:rPr>
        <w:t>69</w:t>
      </w:r>
      <w:r>
        <w:rPr>
          <w:rFonts w:hint="eastAsia" w:ascii="仿宋" w:hAnsi="仿宋" w:eastAsia="仿宋" w:cs="仿宋"/>
          <w:sz w:val="32"/>
          <w:szCs w:val="32"/>
        </w:rPr>
        <w:t>户；</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)高中阶段残疾人学生及贫困残疾人家庭学生子女、残疾人大学生及残疾人家庭大学生子女、区级教育资助人次</w:t>
      </w:r>
      <w:r>
        <w:rPr>
          <w:rFonts w:hint="eastAsia" w:ascii="仿宋" w:hAnsi="仿宋" w:eastAsia="仿宋" w:cs="仿宋"/>
          <w:sz w:val="32"/>
          <w:szCs w:val="32"/>
          <w:highlight w:val="none"/>
        </w:rPr>
        <w:t xml:space="preserve"> 5</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rPr>
        <w:t>人次；</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)组织残疾人培训</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人；</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)扶持残疾人创业 1</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人；</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w:t>
      </w:r>
      <w:r>
        <w:rPr>
          <w:rFonts w:hint="eastAsia" w:ascii="仿宋" w:hAnsi="仿宋" w:eastAsia="仿宋" w:cs="仿宋"/>
          <w:color w:val="000000"/>
          <w:spacing w:val="-4"/>
          <w:kern w:val="0"/>
          <w:sz w:val="32"/>
          <w:szCs w:val="32"/>
          <w:highlight w:val="none"/>
          <w:lang w:bidi="ar"/>
        </w:rPr>
        <w:t>辅助残疾人就业</w:t>
      </w:r>
      <w:r>
        <w:rPr>
          <w:rFonts w:hint="eastAsia" w:ascii="仿宋" w:hAnsi="仿宋" w:eastAsia="仿宋" w:cs="仿宋"/>
          <w:sz w:val="32"/>
          <w:szCs w:val="32"/>
          <w:highlight w:val="none"/>
        </w:rPr>
        <w:t>13</w:t>
      </w:r>
      <w:r>
        <w:rPr>
          <w:rFonts w:hint="eastAsia" w:ascii="仿宋" w:hAnsi="仿宋" w:eastAsia="仿宋" w:cs="仿宋"/>
          <w:sz w:val="32"/>
          <w:szCs w:val="32"/>
        </w:rPr>
        <w:t>人；</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)专职残疾人补贴人数 143人；</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)提供假肢安装人数</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人；</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)白内障手术人次50人</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 w:cs="Times New Roman"/>
          <w:b/>
          <w:bCs/>
          <w:color w:val="222222"/>
          <w:kern w:val="0"/>
          <w:sz w:val="32"/>
          <w:szCs w:val="32"/>
        </w:rPr>
      </w:pPr>
      <w:r>
        <w:rPr>
          <w:rFonts w:hint="eastAsia" w:ascii="Times New Roman" w:hAnsi="Times New Roman" w:eastAsia="仿宋" w:cs="Times New Roman"/>
          <w:b/>
          <w:bCs/>
          <w:color w:val="222222"/>
          <w:kern w:val="0"/>
          <w:sz w:val="32"/>
          <w:szCs w:val="32"/>
        </w:rPr>
        <w:t>2.质量指标</w:t>
      </w:r>
    </w:p>
    <w:p>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(1)党建工作考核合格率100%</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(2)资金发放准确率100%;</w:t>
      </w:r>
    </w:p>
    <w:p>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(3)无障碍家庭改造验收合格率100%；</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(4)残疾人辅助器具适配率100%。</w:t>
      </w:r>
    </w:p>
    <w:p>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3.时效指标</w:t>
      </w:r>
    </w:p>
    <w:p>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各项工作及时完成率100%。</w:t>
      </w:r>
    </w:p>
    <w:p>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4</w:t>
      </w:r>
      <w:bookmarkStart w:id="0" w:name="_Hlk178261713"/>
      <w:r>
        <w:rPr>
          <w:rFonts w:hint="eastAsia" w:ascii="仿宋" w:hAnsi="仿宋" w:eastAsia="仿宋" w:cs="仿宋"/>
          <w:b/>
          <w:bCs/>
          <w:sz w:val="32"/>
          <w:szCs w:val="32"/>
        </w:rPr>
        <w:t>.</w:t>
      </w:r>
      <w:bookmarkEnd w:id="0"/>
      <w:r>
        <w:rPr>
          <w:rFonts w:hint="eastAsia" w:ascii="仿宋" w:hAnsi="仿宋" w:eastAsia="仿宋" w:cs="仿宋"/>
          <w:b/>
          <w:bCs/>
          <w:sz w:val="32"/>
          <w:szCs w:val="32"/>
        </w:rPr>
        <w:t>成本指标</w:t>
      </w:r>
    </w:p>
    <w:p>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各项支出合理合规，控制在预算额度内。</w:t>
      </w:r>
    </w:p>
    <w:p>
      <w:pPr>
        <w:keepNext w:val="0"/>
        <w:keepLines w:val="0"/>
        <w:pageBreakBefore w:val="0"/>
        <w:tabs>
          <w:tab w:val="left" w:pos="400"/>
        </w:tabs>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5.社会效益指标</w:t>
      </w:r>
    </w:p>
    <w:p>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让全区残疾人共享改革发展成果，提高残疾人生活质量。</w:t>
      </w:r>
    </w:p>
    <w:p>
      <w:pPr>
        <w:keepNext w:val="0"/>
        <w:keepLines w:val="0"/>
        <w:pageBreakBefore w:val="0"/>
        <w:tabs>
          <w:tab w:val="left" w:pos="400"/>
        </w:tabs>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6.满意度指标</w:t>
      </w:r>
    </w:p>
    <w:p>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社会公众满意度</w:t>
      </w:r>
      <w:r>
        <w:rPr>
          <w:rFonts w:hint="eastAsia" w:ascii="仿宋" w:hAnsi="仿宋" w:eastAsia="仿宋" w:cs="仿宋"/>
          <w:sz w:val="32"/>
          <w:szCs w:val="32"/>
          <w:lang w:val="en-US" w:eastAsia="zh-CN"/>
        </w:rPr>
        <w:t>90</w:t>
      </w:r>
      <w:r>
        <w:rPr>
          <w:rFonts w:hint="eastAsia" w:ascii="仿宋" w:hAnsi="仿宋" w:eastAsia="仿宋" w:cs="仿宋"/>
          <w:sz w:val="32"/>
          <w:szCs w:val="32"/>
        </w:rPr>
        <w:t>%</w:t>
      </w:r>
      <w:r>
        <w:rPr>
          <w:rFonts w:hint="eastAsia" w:ascii="仿宋" w:hAnsi="仿宋" w:eastAsia="仿宋" w:cs="仿宋"/>
          <w:sz w:val="32"/>
          <w:szCs w:val="32"/>
          <w:lang w:eastAsia="zh-CN"/>
        </w:rPr>
        <w:t>以上</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四、绩效评价工作情况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rPr>
      </w:pPr>
      <w:r>
        <w:rPr>
          <w:rFonts w:hint="eastAsia" w:ascii="Times New Roman" w:eastAsia="仿宋" w:cs="Times New Roman"/>
          <w:sz w:val="32"/>
          <w:szCs w:val="32"/>
        </w:rPr>
        <w:t>单位</w:t>
      </w:r>
      <w:r>
        <w:rPr>
          <w:rFonts w:ascii="Times New Roman" w:eastAsia="仿宋" w:cs="Times New Roman"/>
          <w:sz w:val="32"/>
          <w:szCs w:val="32"/>
        </w:rPr>
        <w:t>接到</w:t>
      </w:r>
      <w:r>
        <w:rPr>
          <w:rFonts w:hint="eastAsia" w:ascii="Times New Roman" w:eastAsia="仿宋" w:cs="Times New Roman"/>
          <w:sz w:val="32"/>
          <w:szCs w:val="32"/>
        </w:rPr>
        <w:t>通知后</w:t>
      </w:r>
      <w:r>
        <w:rPr>
          <w:rFonts w:ascii="Times New Roman" w:eastAsia="仿宋" w:cs="Times New Roman"/>
          <w:sz w:val="32"/>
          <w:szCs w:val="32"/>
        </w:rPr>
        <w:t>，立即安排专门人员成立绩效评价小组。通过</w:t>
      </w:r>
      <w:r>
        <w:rPr>
          <w:rFonts w:hint="eastAsia" w:ascii="Times New Roman" w:eastAsia="仿宋" w:cs="Times New Roman"/>
          <w:sz w:val="32"/>
          <w:szCs w:val="32"/>
        </w:rPr>
        <w:t>个股</w:t>
      </w:r>
      <w:r>
        <w:rPr>
          <w:rFonts w:ascii="Times New Roman" w:eastAsia="仿宋" w:cs="Times New Roman"/>
          <w:sz w:val="32"/>
          <w:szCs w:val="32"/>
        </w:rPr>
        <w:t>室负责人座谈、查阅会计凭证、核实支出数据、发放调查问卷、走访相关单位等方式获取相关资料后，对单位履职情况进行了综合分析、归纳汇总，按照《部门整体支出绩效评价指标体系评分表》以及相关要求，采用定量分析和定性分析相结合的评价方法，形成该部门整体支出绩效</w:t>
      </w:r>
      <w:r>
        <w:rPr>
          <w:rFonts w:hint="eastAsia" w:ascii="Times New Roman" w:eastAsia="仿宋" w:cs="Times New Roman"/>
          <w:sz w:val="32"/>
          <w:szCs w:val="32"/>
        </w:rPr>
        <w:t>自评</w:t>
      </w:r>
      <w:r>
        <w:rPr>
          <w:rFonts w:ascii="Times New Roman" w:eastAsia="仿宋" w:cs="Times New Roman"/>
          <w:sz w:val="32"/>
          <w:szCs w:val="32"/>
        </w:rPr>
        <w:t>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五、综合评价结果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武陵区残联对202</w:t>
      </w:r>
      <w:r>
        <w:rPr>
          <w:rFonts w:hint="eastAsia" w:ascii="仿宋" w:hAnsi="仿宋" w:eastAsia="仿宋" w:cs="仿宋"/>
          <w:sz w:val="32"/>
          <w:szCs w:val="32"/>
          <w:lang w:val="en-US" w:eastAsia="zh-CN"/>
        </w:rPr>
        <w:t>4</w:t>
      </w:r>
      <w:r>
        <w:rPr>
          <w:rFonts w:hint="eastAsia" w:ascii="仿宋" w:hAnsi="仿宋" w:eastAsia="仿宋" w:cs="仿宋"/>
          <w:sz w:val="32"/>
          <w:szCs w:val="32"/>
        </w:rPr>
        <w:t>年度部门整体支出进行了绩效自评，对部门概况、财务情况、部门绩效目标、绩效情况、存在的主要问题及建议等进行了说明，自评得分</w:t>
      </w:r>
      <w:r>
        <w:rPr>
          <w:rFonts w:hint="eastAsia" w:ascii="仿宋" w:hAnsi="仿宋" w:eastAsia="仿宋" w:cs="仿宋"/>
          <w:sz w:val="32"/>
          <w:szCs w:val="32"/>
          <w:lang w:val="en-US" w:eastAsia="zh-CN"/>
        </w:rPr>
        <w:t>97</w:t>
      </w:r>
      <w:r>
        <w:rPr>
          <w:rFonts w:hint="eastAsia" w:ascii="仿宋" w:hAnsi="仿宋" w:eastAsia="仿宋" w:cs="仿宋"/>
          <w:sz w:val="32"/>
          <w:szCs w:val="32"/>
        </w:rPr>
        <w:t>分，自评结果为“优”。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六、部门整体支出绩效情况</w:t>
      </w:r>
    </w:p>
    <w:p>
      <w:pPr>
        <w:keepNext w:val="0"/>
        <w:keepLines w:val="0"/>
        <w:pageBreakBefore w:val="0"/>
        <w:widowControl/>
        <w:kinsoku/>
        <w:wordWrap/>
        <w:overflowPunct/>
        <w:topLinePunct w:val="0"/>
        <w:autoSpaceDE/>
        <w:autoSpaceDN/>
        <w:bidi w:val="0"/>
        <w:adjustRightInd/>
        <w:snapToGrid w:val="0"/>
        <w:spacing w:line="580" w:lineRule="exact"/>
        <w:ind w:left="0" w:leftChars="0" w:firstLine="640" w:firstLineChars="200"/>
        <w:jc w:val="both"/>
        <w:textAlignment w:val="auto"/>
        <w:rPr>
          <w:rFonts w:hint="eastAsia" w:ascii="楷体_GB2312" w:hAnsi="楷体_GB2312" w:eastAsia="楷体_GB2312" w:cs="楷体_GB2312"/>
          <w:b/>
          <w:bCs/>
          <w:color w:val="222222"/>
          <w:kern w:val="0"/>
          <w:sz w:val="32"/>
          <w:szCs w:val="32"/>
          <w:lang w:val="en-US" w:eastAsia="zh-CN"/>
        </w:rPr>
      </w:pPr>
      <w:r>
        <w:rPr>
          <w:rFonts w:hint="eastAsia" w:ascii="楷体_GB2312" w:hAnsi="楷体_GB2312" w:eastAsia="楷体_GB2312" w:cs="楷体_GB2312"/>
          <w:b/>
          <w:bCs/>
          <w:color w:val="222222"/>
          <w:kern w:val="0"/>
          <w:sz w:val="32"/>
          <w:szCs w:val="32"/>
          <w:lang w:val="en-US" w:eastAsia="zh-CN"/>
        </w:rPr>
        <w:t>（一）部门产出指标完成情况</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1.数量指标</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(1)提供免费理疗治疗人次</w:t>
      </w:r>
      <w:r>
        <w:rPr>
          <w:rFonts w:hint="eastAsia" w:ascii="仿宋" w:hAnsi="仿宋" w:eastAsia="仿宋" w:cs="仿宋"/>
          <w:sz w:val="32"/>
          <w:szCs w:val="32"/>
          <w:lang w:val="en-US" w:eastAsia="zh-CN"/>
        </w:rPr>
        <w:t>1309</w:t>
      </w:r>
      <w:r>
        <w:rPr>
          <w:rFonts w:hint="eastAsia" w:ascii="仿宋" w:hAnsi="仿宋" w:eastAsia="仿宋" w:cs="仿宋"/>
          <w:sz w:val="32"/>
          <w:szCs w:val="32"/>
        </w:rPr>
        <w:t>人次</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100%完成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(2)为残疾儿童（脑瘫、自闭、智力等）提供康复训练人数</w:t>
      </w:r>
      <w:r>
        <w:rPr>
          <w:rFonts w:hint="eastAsia" w:ascii="仿宋" w:hAnsi="仿宋" w:eastAsia="仿宋" w:cs="仿宋"/>
          <w:sz w:val="32"/>
          <w:szCs w:val="32"/>
          <w:lang w:val="en-US" w:eastAsia="zh-CN"/>
        </w:rPr>
        <w:t>171</w:t>
      </w:r>
      <w:r>
        <w:rPr>
          <w:rFonts w:hint="eastAsia" w:ascii="仿宋" w:hAnsi="仿宋" w:eastAsia="仿宋" w:cs="仿宋"/>
          <w:sz w:val="32"/>
          <w:szCs w:val="32"/>
        </w:rPr>
        <w:t>人</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(3)提供残疾人辅助器具</w:t>
      </w:r>
      <w:r>
        <w:rPr>
          <w:rFonts w:hint="eastAsia" w:ascii="仿宋" w:hAnsi="仿宋" w:eastAsia="仿宋" w:cs="仿宋"/>
          <w:sz w:val="32"/>
          <w:szCs w:val="32"/>
          <w:lang w:val="en-US" w:eastAsia="zh-CN"/>
        </w:rPr>
        <w:t>150</w:t>
      </w:r>
      <w:r>
        <w:rPr>
          <w:rFonts w:hint="eastAsia" w:ascii="仿宋" w:hAnsi="仿宋" w:eastAsia="仿宋" w:cs="仿宋"/>
          <w:sz w:val="32"/>
          <w:szCs w:val="32"/>
        </w:rPr>
        <w:t>件</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)为残疾人提供免费托养、居家、日间照料服务人次</w:t>
      </w:r>
      <w:r>
        <w:rPr>
          <w:rFonts w:hint="eastAsia" w:ascii="仿宋" w:hAnsi="仿宋" w:eastAsia="仿宋" w:cs="仿宋"/>
          <w:sz w:val="32"/>
          <w:szCs w:val="32"/>
          <w:highlight w:val="none"/>
          <w:lang w:val="en-US" w:eastAsia="zh-CN"/>
        </w:rPr>
        <w:t>190</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eastAsia="zh-CN"/>
        </w:rPr>
        <w:t>，目</w:t>
      </w:r>
      <w:r>
        <w:rPr>
          <w:rFonts w:hint="eastAsia" w:ascii="仿宋" w:hAnsi="仿宋" w:eastAsia="仿宋" w:cs="仿宋"/>
          <w:sz w:val="32"/>
          <w:szCs w:val="32"/>
          <w:lang w:eastAsia="zh-CN"/>
        </w:rPr>
        <w:t>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)无障碍改造</w:t>
      </w:r>
      <w:r>
        <w:rPr>
          <w:rFonts w:hint="eastAsia" w:ascii="仿宋" w:hAnsi="仿宋" w:eastAsia="仿宋" w:cs="仿宋"/>
          <w:sz w:val="32"/>
          <w:szCs w:val="32"/>
          <w:lang w:val="en-US" w:eastAsia="zh-CN"/>
        </w:rPr>
        <w:t>69</w:t>
      </w:r>
      <w:r>
        <w:rPr>
          <w:rFonts w:hint="eastAsia" w:ascii="仿宋" w:hAnsi="仿宋" w:eastAsia="仿宋" w:cs="仿宋"/>
          <w:sz w:val="32"/>
          <w:szCs w:val="32"/>
        </w:rPr>
        <w:t>户</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)高中阶段残疾人学生及贫困残疾人家庭学生子女、残疾人大学生及残疾人家庭大学生子女、区级教育资助人次</w:t>
      </w:r>
      <w:r>
        <w:rPr>
          <w:rFonts w:hint="eastAsia" w:ascii="仿宋" w:hAnsi="仿宋" w:eastAsia="仿宋" w:cs="仿宋"/>
          <w:sz w:val="32"/>
          <w:szCs w:val="32"/>
          <w:lang w:val="en-US" w:eastAsia="zh-CN"/>
        </w:rPr>
        <w:t>51</w:t>
      </w:r>
      <w:r>
        <w:rPr>
          <w:rFonts w:hint="eastAsia" w:ascii="仿宋" w:hAnsi="仿宋" w:eastAsia="仿宋" w:cs="仿宋"/>
          <w:sz w:val="32"/>
          <w:szCs w:val="32"/>
        </w:rPr>
        <w:t>人</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)组织残疾人培训</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rPr>
        <w:t>人次</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部分完成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)扶持残疾人创业 </w:t>
      </w:r>
      <w:r>
        <w:rPr>
          <w:rFonts w:hint="eastAsia" w:ascii="仿宋" w:hAnsi="仿宋" w:eastAsia="仿宋" w:cs="仿宋"/>
          <w:sz w:val="32"/>
          <w:szCs w:val="32"/>
          <w:lang w:val="en-US" w:eastAsia="zh-CN"/>
        </w:rPr>
        <w:t>18</w:t>
      </w:r>
      <w:r>
        <w:rPr>
          <w:rFonts w:hint="eastAsia" w:ascii="仿宋" w:hAnsi="仿宋" w:eastAsia="仿宋" w:cs="仿宋"/>
          <w:sz w:val="32"/>
          <w:szCs w:val="32"/>
        </w:rPr>
        <w:t>人</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color w:val="000000"/>
          <w:spacing w:val="-4"/>
          <w:kern w:val="0"/>
          <w:sz w:val="32"/>
          <w:szCs w:val="32"/>
          <w:lang w:bidi="ar"/>
        </w:rPr>
        <w:t>辅助残疾人就业</w:t>
      </w:r>
      <w:r>
        <w:rPr>
          <w:rFonts w:hint="eastAsia" w:ascii="仿宋" w:hAnsi="仿宋" w:eastAsia="仿宋" w:cs="仿宋"/>
          <w:sz w:val="32"/>
          <w:szCs w:val="32"/>
          <w:lang w:val="en-US" w:eastAsia="zh-CN"/>
        </w:rPr>
        <w:t>12</w:t>
      </w:r>
      <w:r>
        <w:rPr>
          <w:rFonts w:hint="eastAsia" w:ascii="仿宋" w:hAnsi="仿宋" w:eastAsia="仿宋" w:cs="仿宋"/>
          <w:sz w:val="32"/>
          <w:szCs w:val="32"/>
        </w:rPr>
        <w:t>人</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)专职残疾人补贴人数 </w:t>
      </w:r>
      <w:r>
        <w:rPr>
          <w:rFonts w:hint="eastAsia" w:ascii="仿宋" w:hAnsi="仿宋" w:eastAsia="仿宋" w:cs="仿宋"/>
          <w:sz w:val="32"/>
          <w:szCs w:val="32"/>
          <w:lang w:val="en-US" w:eastAsia="zh-CN"/>
        </w:rPr>
        <w:t>143</w:t>
      </w:r>
      <w:r>
        <w:rPr>
          <w:rFonts w:hint="eastAsia" w:ascii="仿宋" w:hAnsi="仿宋" w:eastAsia="仿宋" w:cs="仿宋"/>
          <w:sz w:val="32"/>
          <w:szCs w:val="32"/>
        </w:rPr>
        <w:t>人</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)提供假肢安装人数</w:t>
      </w:r>
      <w:r>
        <w:rPr>
          <w:rFonts w:hint="eastAsia" w:ascii="仿宋" w:hAnsi="仿宋" w:eastAsia="仿宋" w:cs="仿宋"/>
          <w:sz w:val="32"/>
          <w:szCs w:val="32"/>
          <w:lang w:val="en-US" w:eastAsia="zh-CN"/>
        </w:rPr>
        <w:t>16</w:t>
      </w:r>
      <w:r>
        <w:rPr>
          <w:rFonts w:hint="eastAsia" w:ascii="仿宋" w:hAnsi="仿宋" w:eastAsia="仿宋" w:cs="仿宋"/>
          <w:sz w:val="32"/>
          <w:szCs w:val="32"/>
        </w:rPr>
        <w:t>人</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)白内障手术人次</w:t>
      </w:r>
      <w:r>
        <w:rPr>
          <w:rFonts w:hint="eastAsia" w:ascii="仿宋" w:hAnsi="仿宋" w:eastAsia="仿宋" w:cs="仿宋"/>
          <w:sz w:val="32"/>
          <w:szCs w:val="32"/>
          <w:lang w:val="en-US" w:eastAsia="zh-CN"/>
        </w:rPr>
        <w:t>50</w:t>
      </w:r>
      <w:r>
        <w:rPr>
          <w:rFonts w:hint="eastAsia" w:ascii="仿宋" w:hAnsi="仿宋" w:eastAsia="仿宋" w:cs="仿宋"/>
          <w:sz w:val="32"/>
          <w:szCs w:val="32"/>
        </w:rPr>
        <w:t>人</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spacing w:line="580" w:lineRule="exact"/>
        <w:ind w:left="0" w:leftChars="0" w:firstLine="640" w:firstLineChars="200"/>
        <w:jc w:val="both"/>
        <w:textAlignment w:val="auto"/>
        <w:rPr>
          <w:rFonts w:ascii="Times New Roman" w:hAnsi="Times New Roman" w:eastAsia="仿宋" w:cs="Times New Roman"/>
          <w:b/>
          <w:bCs/>
          <w:color w:val="222222"/>
          <w:kern w:val="0"/>
          <w:sz w:val="32"/>
          <w:szCs w:val="32"/>
        </w:rPr>
      </w:pPr>
      <w:r>
        <w:rPr>
          <w:rFonts w:hint="eastAsia" w:ascii="Times New Roman" w:hAnsi="Times New Roman" w:eastAsia="仿宋" w:cs="Times New Roman"/>
          <w:b/>
          <w:bCs/>
          <w:color w:val="222222"/>
          <w:kern w:val="0"/>
          <w:sz w:val="32"/>
          <w:szCs w:val="32"/>
        </w:rPr>
        <w:t>2.质量指标</w:t>
      </w:r>
    </w:p>
    <w:p>
      <w:pPr>
        <w:pStyle w:val="2"/>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(1)党建工作考核合格率100%</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(2)资金发放准确率100%</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pStyle w:val="2"/>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(3)无障碍家庭改造验收合格率100%</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(4)残疾人辅助器具适配率100%</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pStyle w:val="2"/>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3.时效指标</w:t>
      </w:r>
    </w:p>
    <w:p>
      <w:pPr>
        <w:pStyle w:val="2"/>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各项工作及时完成率100%</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pStyle w:val="2"/>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4.成本指标</w:t>
      </w:r>
    </w:p>
    <w:p>
      <w:pPr>
        <w:pStyle w:val="2"/>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各项支出合理合规，控制在预算额度内</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pStyle w:val="2"/>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b/>
          <w:bCs/>
        </w:rPr>
      </w:pPr>
      <w:r>
        <w:rPr>
          <w:rFonts w:hint="eastAsia" w:ascii="楷体_GB2312" w:hAnsi="楷体_GB2312" w:eastAsia="楷体_GB2312" w:cs="楷体_GB2312"/>
          <w:b/>
          <w:bCs/>
          <w:color w:val="222222"/>
          <w:kern w:val="0"/>
          <w:sz w:val="32"/>
          <w:szCs w:val="32"/>
          <w:lang w:val="en-US" w:eastAsia="zh-CN"/>
        </w:rPr>
        <w:t>（二）部门效益情况</w:t>
      </w:r>
    </w:p>
    <w:p>
      <w:pPr>
        <w:keepNext w:val="0"/>
        <w:keepLines w:val="0"/>
        <w:pageBreakBefore w:val="0"/>
        <w:tabs>
          <w:tab w:val="left" w:pos="400"/>
        </w:tabs>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5.社会效益指标</w:t>
      </w:r>
    </w:p>
    <w:p>
      <w:pPr>
        <w:pStyle w:val="2"/>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lang w:eastAsia="zh-CN"/>
        </w:rPr>
        <w:t>通过</w:t>
      </w:r>
      <w:r>
        <w:rPr>
          <w:rFonts w:hint="eastAsia" w:ascii="仿宋" w:hAnsi="仿宋" w:eastAsia="仿宋" w:cs="仿宋"/>
          <w:sz w:val="32"/>
          <w:szCs w:val="32"/>
        </w:rPr>
        <w:t>实现残疾人证办理“一件事一次办”</w:t>
      </w:r>
      <w:r>
        <w:rPr>
          <w:rFonts w:hint="eastAsia" w:ascii="仿宋" w:hAnsi="仿宋" w:eastAsia="仿宋" w:cs="仿宋"/>
          <w:sz w:val="32"/>
          <w:szCs w:val="32"/>
          <w:lang w:eastAsia="zh-CN"/>
        </w:rPr>
        <w:t>，开展</w:t>
      </w:r>
      <w:r>
        <w:rPr>
          <w:rFonts w:hint="eastAsia" w:ascii="仿宋" w:hAnsi="仿宋" w:eastAsia="仿宋" w:cs="仿宋"/>
          <w:sz w:val="32"/>
          <w:szCs w:val="32"/>
        </w:rPr>
        <w:t>残疾人无障碍改造工作</w:t>
      </w:r>
      <w:r>
        <w:rPr>
          <w:rFonts w:hint="eastAsia" w:ascii="仿宋" w:hAnsi="仿宋" w:eastAsia="仿宋" w:cs="仿宋"/>
          <w:sz w:val="32"/>
          <w:szCs w:val="32"/>
          <w:lang w:eastAsia="zh-CN"/>
        </w:rPr>
        <w:t>，</w:t>
      </w:r>
      <w:r>
        <w:rPr>
          <w:rFonts w:hint="eastAsia" w:ascii="仿宋" w:hAnsi="仿宋" w:eastAsia="仿宋" w:cs="仿宋"/>
          <w:sz w:val="32"/>
          <w:szCs w:val="32"/>
        </w:rPr>
        <w:t>狠抓残疾人就业工作</w:t>
      </w:r>
      <w:r>
        <w:rPr>
          <w:rFonts w:hint="eastAsia" w:ascii="仿宋" w:hAnsi="仿宋" w:eastAsia="仿宋" w:cs="仿宋"/>
          <w:sz w:val="32"/>
          <w:szCs w:val="32"/>
          <w:lang w:eastAsia="zh-CN"/>
        </w:rPr>
        <w:t>以及</w:t>
      </w:r>
      <w:r>
        <w:rPr>
          <w:rFonts w:hint="eastAsia" w:ascii="仿宋" w:hAnsi="仿宋" w:eastAsia="仿宋" w:cs="仿宋"/>
          <w:sz w:val="32"/>
          <w:szCs w:val="32"/>
        </w:rPr>
        <w:t>残疾人职业培训</w:t>
      </w:r>
      <w:r>
        <w:rPr>
          <w:rFonts w:hint="eastAsia" w:ascii="仿宋" w:hAnsi="仿宋" w:eastAsia="仿宋" w:cs="仿宋"/>
          <w:sz w:val="32"/>
          <w:szCs w:val="32"/>
          <w:lang w:eastAsia="zh-CN"/>
        </w:rPr>
        <w:t>等</w:t>
      </w:r>
      <w:r>
        <w:rPr>
          <w:rFonts w:hint="eastAsia" w:ascii="仿宋" w:hAnsi="仿宋" w:eastAsia="仿宋" w:cs="仿宋"/>
          <w:sz w:val="32"/>
          <w:szCs w:val="32"/>
        </w:rPr>
        <w:t>工作</w:t>
      </w:r>
      <w:r>
        <w:rPr>
          <w:rFonts w:hint="eastAsia" w:ascii="仿宋" w:hAnsi="仿宋" w:eastAsia="仿宋" w:cs="仿宋"/>
          <w:sz w:val="32"/>
          <w:szCs w:val="32"/>
          <w:lang w:eastAsia="zh-CN"/>
        </w:rPr>
        <w:t>，</w:t>
      </w:r>
      <w:r>
        <w:rPr>
          <w:rFonts w:hint="eastAsia" w:ascii="仿宋" w:hAnsi="仿宋" w:eastAsia="仿宋" w:cs="仿宋"/>
          <w:sz w:val="32"/>
          <w:szCs w:val="32"/>
        </w:rPr>
        <w:t>让全区残疾人共享改革发展成果，提高</w:t>
      </w:r>
      <w:r>
        <w:rPr>
          <w:rFonts w:hint="eastAsia" w:ascii="仿宋" w:hAnsi="仿宋" w:eastAsia="仿宋" w:cs="仿宋"/>
          <w:sz w:val="32"/>
          <w:szCs w:val="32"/>
          <w:lang w:eastAsia="zh-CN"/>
        </w:rPr>
        <w:t>了</w:t>
      </w:r>
      <w:r>
        <w:rPr>
          <w:rFonts w:hint="eastAsia" w:ascii="仿宋" w:hAnsi="仿宋" w:eastAsia="仿宋" w:cs="仿宋"/>
          <w:sz w:val="32"/>
          <w:szCs w:val="32"/>
        </w:rPr>
        <w:t>残疾人生活质量</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tabs>
          <w:tab w:val="left" w:pos="400"/>
        </w:tabs>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6.满意度指标</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社会公众满意度90%</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b/>
          <w:bCs/>
          <w:sz w:val="32"/>
          <w:szCs w:val="32"/>
          <w:lang w:eastAsia="zh-CN"/>
        </w:rPr>
        <w:t>（一）预算执行存在偏差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因部分工作是年中或年末根据上级残联和区里要求开展，未纳入年初预算，另外还有部分不可预见经费的追加，无法纳入预算，导致预算执行存在偏差。</w:t>
      </w:r>
    </w:p>
    <w:p>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服务能力与服务需求存在差距</w:t>
      </w:r>
      <w:r>
        <w:rPr>
          <w:rFonts w:hint="eastAsia" w:ascii="楷体" w:hAnsi="楷体" w:eastAsia="楷体" w:cs="楷体"/>
          <w:b/>
          <w:bCs/>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随着</w:t>
      </w:r>
      <w:r>
        <w:rPr>
          <w:rFonts w:hint="eastAsia" w:ascii="仿宋" w:hAnsi="仿宋" w:eastAsia="仿宋" w:cs="仿宋"/>
          <w:sz w:val="32"/>
          <w:szCs w:val="32"/>
          <w:lang w:eastAsia="zh-CN"/>
        </w:rPr>
        <w:t>残疾人权利意识的增加，残疾人服务需求量增加，残联力不从心，在为残疾人提供康复、就业、教育等方面的服务时，由于资金、人员、设施等原因，存在服务能力不足的问题，无法满足残疾人的全部需求。</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八、</w:t>
      </w:r>
      <w:r>
        <w:rPr>
          <w:rFonts w:hint="eastAsia" w:ascii="Times New Roman" w:hAnsi="Times New Roman" w:eastAsia="黑体" w:cs="Times New Roman"/>
          <w:color w:val="000000"/>
          <w:sz w:val="32"/>
          <w:szCs w:val="32"/>
        </w:rPr>
        <w:t>下一步改进措施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sz w:val="32"/>
          <w:szCs w:val="32"/>
          <w:lang w:eastAsia="zh-CN"/>
        </w:rPr>
        <w:t>（一）细化预算编制工作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科学合理编制预算，严格执行预算。要按照《预算法》及其实施条例的相关规定，参考上一年的预算执行情况和年度的收支预测、部门重点工作等科学编制预算。同时严格预算执行，提高资金使用效率。</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（二）提升服务能力</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通过争取更多的资金和人员，增加设施设备等，提升服务能力，尽量满足残疾人的合理需求。</w:t>
      </w:r>
    </w:p>
    <w:p>
      <w:pPr>
        <w:widowControl/>
        <w:spacing w:line="560" w:lineRule="exact"/>
        <w:ind w:firstLine="640"/>
        <w:rPr>
          <w:rFonts w:eastAsia="黑体" w:cs="Times New Roman"/>
          <w:color w:val="000000"/>
          <w:sz w:val="32"/>
          <w:szCs w:val="32"/>
        </w:rPr>
      </w:pPr>
      <w:r>
        <w:rPr>
          <w:rFonts w:hint="eastAsia" w:eastAsia="黑体" w:cs="Times New Roman"/>
          <w:color w:val="000000"/>
          <w:sz w:val="32"/>
          <w:szCs w:val="32"/>
        </w:rPr>
        <w:t>九、绩效自评结果拟应用和公开情况</w:t>
      </w:r>
    </w:p>
    <w:p>
      <w:pPr>
        <w:widowControl/>
        <w:spacing w:line="560" w:lineRule="exact"/>
        <w:ind w:firstLine="640"/>
        <w:rPr>
          <w:rFonts w:hint="default" w:ascii="Times New Roman" w:hAnsi="Times New Roman" w:eastAsia="仿宋_GB2312" w:cs="Times New Roman"/>
          <w:color w:val="222222"/>
          <w:kern w:val="0"/>
          <w:sz w:val="32"/>
          <w:szCs w:val="32"/>
        </w:rPr>
      </w:pPr>
      <w:r>
        <w:rPr>
          <w:rFonts w:hint="default" w:ascii="Times New Roman" w:hAnsi="Times New Roman" w:eastAsia="仿宋_GB2312" w:cs="Times New Roman"/>
          <w:color w:val="222222"/>
          <w:kern w:val="0"/>
          <w:sz w:val="32"/>
          <w:szCs w:val="32"/>
        </w:rPr>
        <w:t>已在政府门户网站上同2024年度部门决算同步公开，截至部门决算公开时，绩效自评结果还未应用但拟应用。</w:t>
      </w:r>
    </w:p>
    <w:p>
      <w:pPr>
        <w:pStyle w:val="3"/>
        <w:rPr>
          <w:rFonts w:hint="eastAsia" w:ascii="仿宋" w:hAnsi="仿宋" w:eastAsia="仿宋" w:cs="仿宋"/>
          <w:sz w:val="32"/>
          <w:szCs w:val="32"/>
          <w:lang w:eastAsia="zh-CN"/>
        </w:rPr>
      </w:pPr>
    </w:p>
    <w:p>
      <w:pPr>
        <w:rPr>
          <w:rFonts w:ascii="仿宋" w:hAnsi="仿宋" w:eastAsia="仿宋" w:cs="Times New Roman"/>
          <w:color w:val="000000"/>
          <w:sz w:val="32"/>
          <w:szCs w:val="32"/>
        </w:rPr>
      </w:pPr>
      <w:r>
        <w:rPr>
          <w:rFonts w:ascii="仿宋" w:hAnsi="仿宋" w:eastAsia="仿宋" w:cs="Times New Roman"/>
          <w:color w:val="000000"/>
          <w:sz w:val="32"/>
          <w:szCs w:val="32"/>
        </w:rPr>
        <w:br w:type="page"/>
      </w:r>
    </w:p>
    <w:p>
      <w:pPr>
        <w:keepNext w:val="0"/>
        <w:keepLines w:val="0"/>
        <w:pageBreakBefore w:val="0"/>
        <w:widowControl/>
        <w:kinsoku/>
        <w:wordWrap/>
        <w:overflowPunct/>
        <w:topLinePunct w:val="0"/>
        <w:autoSpaceDE/>
        <w:autoSpaceDN/>
        <w:bidi w:val="0"/>
        <w:adjustRightInd/>
        <w:snapToGrid/>
        <w:spacing w:line="580" w:lineRule="exact"/>
        <w:ind w:left="0" w:leftChars="0" w:right="640" w:rightChars="200" w:firstLine="0" w:firstLineChars="0"/>
        <w:jc w:val="right"/>
        <w:textAlignment w:val="auto"/>
        <w:rPr>
          <w:rFonts w:ascii="仿宋" w:hAnsi="仿宋" w:eastAsia="仿宋" w:cs="Times New Roman"/>
          <w:color w:val="000000"/>
          <w:sz w:val="32"/>
          <w:szCs w:val="32"/>
        </w:rPr>
      </w:pPr>
    </w:p>
    <w:tbl>
      <w:tblPr>
        <w:tblStyle w:val="6"/>
        <w:tblW w:w="10213" w:type="dxa"/>
        <w:jc w:val="center"/>
        <w:tblLayout w:type="autofit"/>
        <w:tblCellMar>
          <w:top w:w="0" w:type="dxa"/>
          <w:left w:w="108" w:type="dxa"/>
          <w:bottom w:w="0" w:type="dxa"/>
          <w:right w:w="108" w:type="dxa"/>
        </w:tblCellMar>
      </w:tblPr>
      <w:tblGrid>
        <w:gridCol w:w="731"/>
        <w:gridCol w:w="638"/>
        <w:gridCol w:w="548"/>
        <w:gridCol w:w="676"/>
        <w:gridCol w:w="516"/>
        <w:gridCol w:w="3342"/>
        <w:gridCol w:w="3036"/>
        <w:gridCol w:w="726"/>
      </w:tblGrid>
      <w:tr>
        <w:tblPrEx>
          <w:tblCellMar>
            <w:top w:w="0" w:type="dxa"/>
            <w:left w:w="108" w:type="dxa"/>
            <w:bottom w:w="0" w:type="dxa"/>
            <w:right w:w="108" w:type="dxa"/>
          </w:tblCellMar>
        </w:tblPrEx>
        <w:trPr>
          <w:trHeight w:val="795" w:hRule="atLeast"/>
          <w:jc w:val="center"/>
        </w:trPr>
        <w:tc>
          <w:tcPr>
            <w:tcW w:w="10213" w:type="dxa"/>
            <w:gridSpan w:val="8"/>
            <w:tcBorders>
              <w:top w:val="nil"/>
              <w:left w:val="nil"/>
              <w:bottom w:val="nil"/>
              <w:right w:val="nil"/>
            </w:tcBorders>
            <w:noWrap/>
            <w:vAlign w:val="center"/>
          </w:tcPr>
          <w:p>
            <w:pPr>
              <w:widowControl/>
              <w:jc w:val="center"/>
              <w:rPr>
                <w:rFonts w:hint="default" w:ascii="Times New Roman" w:hAnsi="Times New Roman" w:cs="Times New Roman"/>
                <w:kern w:val="0"/>
                <w:sz w:val="24"/>
                <w:szCs w:val="24"/>
              </w:rPr>
            </w:pPr>
            <w:r>
              <w:rPr>
                <w:rFonts w:hint="default" w:ascii="Times New Roman" w:hAnsi="Times New Roman" w:eastAsia="方正小标宋简体" w:cs="Times New Roman"/>
                <w:kern w:val="0"/>
                <w:sz w:val="32"/>
                <w:szCs w:val="32"/>
              </w:rPr>
              <w:t>部门整体支出绩效评价指标体系</w:t>
            </w:r>
          </w:p>
        </w:tc>
      </w:tr>
      <w:tr>
        <w:tblPrEx>
          <w:tblCellMar>
            <w:top w:w="0" w:type="dxa"/>
            <w:left w:w="108" w:type="dxa"/>
            <w:bottom w:w="0" w:type="dxa"/>
            <w:right w:w="108" w:type="dxa"/>
          </w:tblCellMar>
        </w:tblPrEx>
        <w:trPr>
          <w:trHeight w:val="420" w:hRule="atLeast"/>
          <w:jc w:val="center"/>
        </w:trPr>
        <w:tc>
          <w:tcPr>
            <w:tcW w:w="731" w:type="dxa"/>
            <w:tcBorders>
              <w:top w:val="nil"/>
              <w:left w:val="nil"/>
              <w:bottom w:val="single" w:color="auto" w:sz="4" w:space="0"/>
              <w:right w:val="nil"/>
            </w:tcBorders>
            <w:noWrap/>
            <w:vAlign w:val="center"/>
          </w:tcPr>
          <w:p>
            <w:pPr>
              <w:widowControl/>
              <w:jc w:val="center"/>
              <w:rPr>
                <w:rFonts w:hint="default" w:ascii="Times New Roman" w:hAnsi="Times New Roman" w:cs="Times New Roman"/>
                <w:kern w:val="0"/>
                <w:sz w:val="48"/>
                <w:szCs w:val="48"/>
              </w:rPr>
            </w:pPr>
          </w:p>
        </w:tc>
        <w:tc>
          <w:tcPr>
            <w:tcW w:w="638" w:type="dxa"/>
            <w:tcBorders>
              <w:top w:val="nil"/>
              <w:left w:val="nil"/>
              <w:bottom w:val="single" w:color="auto" w:sz="4" w:space="0"/>
              <w:right w:val="nil"/>
            </w:tcBorders>
            <w:noWrap/>
            <w:vAlign w:val="center"/>
          </w:tcPr>
          <w:p>
            <w:pPr>
              <w:widowControl/>
              <w:jc w:val="center"/>
              <w:rPr>
                <w:rFonts w:hint="default" w:ascii="Times New Roman" w:hAnsi="Times New Roman" w:cs="Times New Roman"/>
                <w:kern w:val="0"/>
                <w:sz w:val="48"/>
                <w:szCs w:val="48"/>
              </w:rPr>
            </w:pPr>
          </w:p>
        </w:tc>
        <w:tc>
          <w:tcPr>
            <w:tcW w:w="548" w:type="dxa"/>
            <w:tcBorders>
              <w:top w:val="nil"/>
              <w:left w:val="nil"/>
              <w:bottom w:val="single" w:color="auto" w:sz="4" w:space="0"/>
              <w:right w:val="nil"/>
            </w:tcBorders>
            <w:noWrap/>
            <w:vAlign w:val="center"/>
          </w:tcPr>
          <w:p>
            <w:pPr>
              <w:widowControl/>
              <w:jc w:val="center"/>
              <w:rPr>
                <w:rFonts w:hint="default" w:ascii="Times New Roman" w:hAnsi="Times New Roman" w:cs="Times New Roman"/>
                <w:kern w:val="0"/>
                <w:sz w:val="48"/>
                <w:szCs w:val="48"/>
              </w:rPr>
            </w:pPr>
          </w:p>
        </w:tc>
        <w:tc>
          <w:tcPr>
            <w:tcW w:w="676" w:type="dxa"/>
            <w:tcBorders>
              <w:top w:val="nil"/>
              <w:left w:val="nil"/>
              <w:bottom w:val="single" w:color="auto" w:sz="4" w:space="0"/>
              <w:right w:val="nil"/>
            </w:tcBorders>
            <w:noWrap/>
            <w:vAlign w:val="center"/>
          </w:tcPr>
          <w:p>
            <w:pPr>
              <w:widowControl/>
              <w:jc w:val="center"/>
              <w:rPr>
                <w:rFonts w:hint="default" w:ascii="Times New Roman" w:hAnsi="Times New Roman" w:cs="Times New Roman"/>
                <w:kern w:val="0"/>
                <w:sz w:val="48"/>
                <w:szCs w:val="48"/>
              </w:rPr>
            </w:pPr>
          </w:p>
        </w:tc>
        <w:tc>
          <w:tcPr>
            <w:tcW w:w="516" w:type="dxa"/>
            <w:tcBorders>
              <w:top w:val="nil"/>
              <w:left w:val="nil"/>
              <w:bottom w:val="single" w:color="auto" w:sz="4" w:space="0"/>
              <w:right w:val="nil"/>
            </w:tcBorders>
            <w:noWrap/>
            <w:vAlign w:val="center"/>
          </w:tcPr>
          <w:p>
            <w:pPr>
              <w:widowControl/>
              <w:jc w:val="center"/>
              <w:rPr>
                <w:rFonts w:hint="default" w:ascii="Times New Roman" w:hAnsi="Times New Roman" w:cs="Times New Roman"/>
                <w:kern w:val="0"/>
                <w:sz w:val="48"/>
                <w:szCs w:val="48"/>
              </w:rPr>
            </w:pPr>
          </w:p>
        </w:tc>
        <w:tc>
          <w:tcPr>
            <w:tcW w:w="3342" w:type="dxa"/>
            <w:tcBorders>
              <w:top w:val="nil"/>
              <w:left w:val="nil"/>
              <w:bottom w:val="single" w:color="auto" w:sz="4" w:space="0"/>
              <w:right w:val="nil"/>
            </w:tcBorders>
            <w:noWrap/>
            <w:vAlign w:val="center"/>
          </w:tcPr>
          <w:p>
            <w:pPr>
              <w:widowControl/>
              <w:jc w:val="center"/>
              <w:rPr>
                <w:rFonts w:hint="default" w:ascii="Times New Roman" w:hAnsi="Times New Roman" w:cs="Times New Roman"/>
                <w:kern w:val="0"/>
                <w:sz w:val="48"/>
                <w:szCs w:val="48"/>
              </w:rPr>
            </w:pPr>
          </w:p>
        </w:tc>
        <w:tc>
          <w:tcPr>
            <w:tcW w:w="3036" w:type="dxa"/>
            <w:tcBorders>
              <w:top w:val="nil"/>
              <w:left w:val="nil"/>
              <w:bottom w:val="single" w:color="auto" w:sz="4" w:space="0"/>
              <w:right w:val="nil"/>
            </w:tcBorders>
            <w:noWrap/>
            <w:vAlign w:val="center"/>
          </w:tcPr>
          <w:p>
            <w:pPr>
              <w:widowControl/>
              <w:jc w:val="right"/>
              <w:rPr>
                <w:rFonts w:hint="default" w:ascii="Times New Roman" w:hAnsi="Times New Roman" w:cs="Times New Roman"/>
                <w:kern w:val="0"/>
                <w:sz w:val="20"/>
                <w:szCs w:val="20"/>
              </w:rPr>
            </w:pPr>
          </w:p>
        </w:tc>
        <w:tc>
          <w:tcPr>
            <w:tcW w:w="726" w:type="dxa"/>
            <w:tcBorders>
              <w:top w:val="nil"/>
              <w:left w:val="nil"/>
              <w:bottom w:val="single" w:color="auto" w:sz="4" w:space="0"/>
              <w:right w:val="nil"/>
            </w:tcBorders>
            <w:noWrap/>
            <w:vAlign w:val="center"/>
          </w:tcPr>
          <w:p>
            <w:pPr>
              <w:widowControl/>
              <w:jc w:val="left"/>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6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一级</w:t>
            </w:r>
            <w:r>
              <w:rPr>
                <w:rFonts w:hint="default" w:ascii="Times New Roman" w:hAnsi="Times New Roman" w:eastAsia="黑体" w:cs="Times New Roman"/>
                <w:kern w:val="0"/>
                <w:sz w:val="20"/>
                <w:szCs w:val="20"/>
              </w:rPr>
              <w:br w:type="textWrapping"/>
            </w:r>
            <w:r>
              <w:rPr>
                <w:rFonts w:hint="default" w:ascii="Times New Roman" w:hAnsi="Times New Roman" w:eastAsia="黑体" w:cs="Times New Roman"/>
                <w:kern w:val="0"/>
                <w:sz w:val="20"/>
                <w:szCs w:val="20"/>
              </w:rPr>
              <w:t>指标</w:t>
            </w:r>
          </w:p>
        </w:tc>
        <w:tc>
          <w:tcPr>
            <w:tcW w:w="638"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二级</w:t>
            </w:r>
            <w:r>
              <w:rPr>
                <w:rFonts w:hint="default" w:ascii="Times New Roman" w:hAnsi="Times New Roman" w:eastAsia="黑体" w:cs="Times New Roman"/>
                <w:kern w:val="0"/>
                <w:sz w:val="20"/>
                <w:szCs w:val="20"/>
              </w:rPr>
              <w:br w:type="textWrapping"/>
            </w:r>
            <w:r>
              <w:rPr>
                <w:rFonts w:hint="default" w:ascii="Times New Roman" w:hAnsi="Times New Roman" w:eastAsia="黑体" w:cs="Times New Roman"/>
                <w:kern w:val="0"/>
                <w:sz w:val="20"/>
                <w:szCs w:val="20"/>
              </w:rPr>
              <w:t>指标</w:t>
            </w:r>
          </w:p>
        </w:tc>
        <w:tc>
          <w:tcPr>
            <w:tcW w:w="548"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分值</w:t>
            </w: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三级指标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分值</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指标解释</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评分标准</w:t>
            </w:r>
          </w:p>
        </w:tc>
        <w:tc>
          <w:tcPr>
            <w:tcW w:w="726"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自评</w:t>
            </w:r>
            <w:r>
              <w:rPr>
                <w:rFonts w:hint="default" w:ascii="Times New Roman" w:hAnsi="Times New Roman" w:eastAsia="黑体" w:cs="Times New Roman"/>
                <w:kern w:val="0"/>
                <w:sz w:val="20"/>
                <w:szCs w:val="20"/>
              </w:rPr>
              <w:br w:type="textWrapping"/>
            </w:r>
            <w:r>
              <w:rPr>
                <w:rFonts w:hint="default" w:ascii="Times New Roman" w:hAnsi="Times New Roman" w:eastAsia="黑体" w:cs="Times New Roman"/>
                <w:kern w:val="0"/>
                <w:sz w:val="20"/>
                <w:szCs w:val="20"/>
              </w:rPr>
              <w:t>得分</w:t>
            </w:r>
          </w:p>
        </w:tc>
      </w:tr>
      <w:tr>
        <w:tblPrEx>
          <w:tblCellMar>
            <w:top w:w="0" w:type="dxa"/>
            <w:left w:w="108" w:type="dxa"/>
            <w:bottom w:w="0" w:type="dxa"/>
            <w:right w:w="108" w:type="dxa"/>
          </w:tblCellMar>
        </w:tblPrEx>
        <w:trPr>
          <w:trHeight w:val="1182" w:hRule="atLeast"/>
          <w:jc w:val="center"/>
        </w:trPr>
        <w:tc>
          <w:tcPr>
            <w:tcW w:w="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投入</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目标</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设定</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10</w:t>
            </w: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绩效目标合理性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部门所设立的整体绩效目标依据是否充分，是否符合客观实际，用以反映和考核部门整体绩效目标与部门履职、年度工作任务的相符性情况。</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①符合国家法律法规、国民经济和社会发展总体规划，得1分；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②符合部门“三定”方案确定的职责，得1分；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③符合部门制定的中长期实施规划，得1分。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3</w:t>
            </w:r>
          </w:p>
        </w:tc>
      </w:tr>
      <w:tr>
        <w:tblPrEx>
          <w:tblCellMar>
            <w:top w:w="0" w:type="dxa"/>
            <w:left w:w="108" w:type="dxa"/>
            <w:bottom w:w="0" w:type="dxa"/>
            <w:right w:w="108" w:type="dxa"/>
          </w:tblCellMar>
        </w:tblPrEx>
        <w:trPr>
          <w:trHeight w:val="132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绩效指标明确性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7</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部门依据整体绩效目标所设定的绩效指标是否清晰、细化、可衡量，用以反映和考核部门整体绩效目标的明细化情况。</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①将部门整体的绩效目标细化分解为具体的工作任务，得1分；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②通过清晰、可衡量的指标值予以体现，得2分；   </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③与部门年度的任务数或计划数相对应，得2分；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④与本年度部门预算资金相匹配，得2分。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4"/>
                <w:szCs w:val="24"/>
                <w:lang w:val="en-US" w:eastAsia="zh-CN"/>
              </w:rPr>
              <w:t>7</w:t>
            </w:r>
          </w:p>
        </w:tc>
      </w:tr>
      <w:tr>
        <w:tblPrEx>
          <w:tblCellMar>
            <w:top w:w="0" w:type="dxa"/>
            <w:left w:w="108" w:type="dxa"/>
            <w:bottom w:w="0" w:type="dxa"/>
            <w:right w:w="108" w:type="dxa"/>
          </w:tblCellMar>
        </w:tblPrEx>
        <w:trPr>
          <w:trHeight w:val="168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预算</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配置</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在职人员控制率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部门本年度实际在职人员数与编制数的比率，用以反映和考核部门对人员成本的控制程度。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在职人员控制率=（在职人员数/编制数）×100%。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在职人员数：部门实际在职人数，以财政部确定的部门决算编制口径为准。扣掉编制部门和劳动部门批复同意的临聘人员。</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编制数：机构编制部门核定批复的部门的人员编制数。</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在职人员控制率≤100%，得1分；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每超过一个百分点扣0.5分，扣完为止。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172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“三公经费”变动率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部门本年度“三公经费”预算数与上年度“三公经费”预算数的变动比率，用以反映和考核部门对控制重点行政成本的努力程度。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“三公经费”变动率=[（本年度“三公经费”预算数-上年度“三公经费”预算数）/上年度“三公经费”预算数]×100%。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三公经费：年度预算安排的因公出国（境）费、公务车辆购置及运行费和公务招待费。</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“三公经费”变动率≤0，得1分；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每超过一个百分点扣0.5分，扣完为止。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172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重点支出安排率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部门本年度预算安排的重点预算支出与部门预算总支出的比率，用以反映和考核部门对履行主要职责或完成重点任务的保障程度。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重点支出安排率=（重点预算支出/预算总支出）×100%。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重点预算支出：部门年度预算安排的，与本部门履职和发展密切相关、具有明显社会和经济影响、党委政府关心或社会比较关注的预算支出总额。</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预算总支出：部门年度预算安排的预算支出总额。</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重点支出安排率≥90%，得3分；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80%（含）-90%，得2分；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70%（含）-80%，得1分；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60%（含）-70%，得0.5分；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＜60%，得0分。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3</w:t>
            </w:r>
          </w:p>
        </w:tc>
      </w:tr>
      <w:tr>
        <w:tblPrEx>
          <w:tblCellMar>
            <w:top w:w="0" w:type="dxa"/>
            <w:left w:w="108" w:type="dxa"/>
            <w:bottom w:w="0" w:type="dxa"/>
            <w:right w:w="108" w:type="dxa"/>
          </w:tblCellMar>
        </w:tblPrEx>
        <w:trPr>
          <w:trHeight w:val="919" w:hRule="atLeast"/>
          <w:jc w:val="center"/>
        </w:trPr>
        <w:tc>
          <w:tcPr>
            <w:tcW w:w="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过   程</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预算</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执行</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13</w:t>
            </w: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预算完成率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部门本年度预算完成数与预算数的比率，用以反映和考核部门预算完成程度。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预算完成率=（预算完成数/预算数）×100%。</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预算完成率≥95%，得3分；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每降低5%，扣1分，扣完为止。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3</w:t>
            </w:r>
          </w:p>
        </w:tc>
      </w:tr>
      <w:tr>
        <w:tblPrEx>
          <w:tblCellMar>
            <w:top w:w="0" w:type="dxa"/>
            <w:left w:w="108" w:type="dxa"/>
            <w:bottom w:w="0" w:type="dxa"/>
            <w:right w:w="108" w:type="dxa"/>
          </w:tblCellMar>
        </w:tblPrEx>
        <w:trPr>
          <w:trHeight w:val="162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预算调整率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部门本年度预算调整数与预算数的比率，用以反映和考核部门预算的调整程度。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预算调整率=（本年预算调整数/年初预算）×100%。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本年预算调整数：部门在本年度内涉及预算的追加、追减或结构调整的资金总和（因落实国家政策、发生不可抗力、上级部门或本级党委政府临时交办而产生的调整除外）。</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预算调整率≤5%，得2分；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5%-10%（含），得1.5分；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10%-15%（含），得1分；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15%-20%（含），得0.5分；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＞20%，得0分。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w:t>
            </w:r>
          </w:p>
        </w:tc>
      </w:tr>
      <w:tr>
        <w:tblPrEx>
          <w:tblCellMar>
            <w:top w:w="0" w:type="dxa"/>
            <w:left w:w="108" w:type="dxa"/>
            <w:bottom w:w="0" w:type="dxa"/>
            <w:right w:w="108" w:type="dxa"/>
          </w:tblCellMar>
        </w:tblPrEx>
        <w:trPr>
          <w:trHeight w:val="214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支付进度率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部门实际支付进度与既定支付进度的比率，用以反映和考核部门预算执行的及时性和均衡性程度。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支付进度率=（实际支付进度/既定支付进度）×100%。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实际支付进度：部门在某一时点的支出预算执行总数与年度支出预算数的比率。</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既定支付进度：由部门在申报部门整体绩效目标时，参照序时支付进度、前三年支付进度、本级部门平均支付进度水平等确定的，在某一时点应达到的支付进度（比率）。</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支付进度率=100%，得2分；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每超过（降低）5%，扣0.5分，扣完为止。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w:t>
            </w:r>
          </w:p>
        </w:tc>
      </w:tr>
      <w:tr>
        <w:tblPrEx>
          <w:tblCellMar>
            <w:top w:w="0" w:type="dxa"/>
            <w:left w:w="108" w:type="dxa"/>
            <w:bottom w:w="0" w:type="dxa"/>
            <w:right w:w="108" w:type="dxa"/>
          </w:tblCellMar>
        </w:tblPrEx>
        <w:trPr>
          <w:trHeight w:val="416"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结转结余变动率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部门本年度结转结余资金总额与上年度结转结余资金总额的变动比率，用以反映和考核部门对控制结转结余资金的努力程度。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结转结余变动率=[（本年度累计结转结余资金总额-上年度累计结转结余资金总额）/上年度累计结转结余资金总额]×100%。</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结转结余变动率≤0，得1分；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每超过5%，扣0.5分，扣完为止。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120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公用经费控制率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部门本年度实际支出的公用经费总额与预算安排的公用经费总额的比率，用以反映和考核部门对机构运转成本的实际控制程度。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公用经费控制率=（实际支出公用经费总额/预算安排公用经费总额）×100%。</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公用经费控制率≤100%，得2分；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每超过5%，扣1分，扣完为止。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w:t>
            </w:r>
          </w:p>
        </w:tc>
      </w:tr>
      <w:tr>
        <w:tblPrEx>
          <w:tblCellMar>
            <w:top w:w="0" w:type="dxa"/>
            <w:left w:w="108" w:type="dxa"/>
            <w:bottom w:w="0" w:type="dxa"/>
            <w:right w:w="108" w:type="dxa"/>
          </w:tblCellMar>
        </w:tblPrEx>
        <w:trPr>
          <w:trHeight w:val="1159"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“三公经费”控制率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部门本年度“三公经费”实际支出数与预算安排数的比率，用以反映和考核部门对“三公经费”的实际控制程度。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“三公经费”控制率=（“三公经费”实际支出数/“三公经费”预算安排数）×100%。</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“三公经费”控制率≤100%，得1分；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每超过5%，扣0.5分，扣完为止。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138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政府采购执行率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部门本年度实际政府采购金额与年初政府采购预算的比率，用以反映和考核部门政府采购预算执行情况。</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政府采购执行率=（实际政府采购金额/政府采购预算数）×100%；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政府采购预算：采购机关根据事业发展计划和行政任务编制的、并经过规定程序批准的年度政府采购计划。 </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政府采购执行率=100%，得2分；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每超过（降低）5%，扣1分，扣完为止。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4"/>
                <w:szCs w:val="24"/>
                <w:lang w:val="en-US" w:eastAsia="zh-CN"/>
              </w:rPr>
              <w:t>2</w:t>
            </w:r>
          </w:p>
        </w:tc>
      </w:tr>
      <w:tr>
        <w:tblPrEx>
          <w:tblCellMar>
            <w:top w:w="0" w:type="dxa"/>
            <w:left w:w="108" w:type="dxa"/>
            <w:bottom w:w="0" w:type="dxa"/>
            <w:right w:w="108" w:type="dxa"/>
          </w:tblCellMar>
        </w:tblPrEx>
        <w:trPr>
          <w:trHeight w:val="1819" w:hRule="atLeast"/>
          <w:jc w:val="center"/>
        </w:trPr>
        <w:tc>
          <w:tcPr>
            <w:tcW w:w="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过程</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预算</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管理</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9</w:t>
            </w: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管理制度健全性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部门为加强预算管理、规范财务行为而制定的管理制度是否健全完整，用以反映和考核部门预算管理制度对完成主要职责或促进事业发展的保障情况。</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①是否已制定或具有预算资金管理办法、内部财务管理制度、会计核算制度、本部门厉行节约制度等管理制度；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②相关管理制度是否合法、合规、完整；</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③相关管理制度是否得到有效执行。</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每发现一类不合规问题，扣1分，扣完为止。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w:t>
            </w:r>
          </w:p>
        </w:tc>
      </w:tr>
      <w:tr>
        <w:tblPrEx>
          <w:tblCellMar>
            <w:top w:w="0" w:type="dxa"/>
            <w:left w:w="108" w:type="dxa"/>
            <w:bottom w:w="0" w:type="dxa"/>
            <w:right w:w="108" w:type="dxa"/>
          </w:tblCellMar>
        </w:tblPrEx>
        <w:trPr>
          <w:trHeight w:val="210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资金使用合规性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部门使用预算资金是否符合相关的预算财务管理制度的规定，用以反映和考核部门预算资金的规范运行情况。</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①是否符合国家财经法规和财务管理制度规定以及有关预算支出管理办法的规定；</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②资金的拨付是否有完整的审批程序和手续；</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③预算支出的重大开支是否经过评估论证；</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④是否符合部门预算批复的用途；</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⑤是否存在截留、挤占、挪用、虚列支出等情况。</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每发现一类不合规问题，扣2分，扣完为止。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5</w:t>
            </w:r>
          </w:p>
        </w:tc>
      </w:tr>
      <w:tr>
        <w:tblPrEx>
          <w:tblCellMar>
            <w:top w:w="0" w:type="dxa"/>
            <w:left w:w="108" w:type="dxa"/>
            <w:bottom w:w="0" w:type="dxa"/>
            <w:right w:w="108" w:type="dxa"/>
          </w:tblCellMar>
        </w:tblPrEx>
        <w:trPr>
          <w:trHeight w:val="1005"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预决算信息公开性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部门是否按照政府信息公开有关规定公开相关预决算信息，用以反映和考核部门预决算管理的公开透明情况。</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预决算信息是指与部门预算、执行、决算、监督、绩效等管理相关的信息。</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基础数据信息和会计信息资料是否真实、完整、准确。</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每发现一类不合规问题，扣0.5分，扣完为止。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70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基础信息完善性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nil"/>
            </w:tcBorders>
            <w:noWrap/>
            <w:vAlign w:val="center"/>
          </w:tcPr>
          <w:p>
            <w:pPr>
              <w:widowControl/>
              <w:spacing w:line="280" w:lineRule="exac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部门基础信息是否完善，用以反映和考核基础信息对预算管理工作的支撑情况。</w:t>
            </w:r>
          </w:p>
        </w:tc>
        <w:tc>
          <w:tcPr>
            <w:tcW w:w="303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基础数据信息和会计信息资料真实、完整、准确，得1分。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90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资产</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管理</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w:t>
            </w: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管理制度健全性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部门为加强资产管理、规范资产管理行为而制定的管理制度是否健全完整，用以反映和考核部门资产管理制度对完成主要职责或促进社会发展的保障情况。</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①已制定或具有资产管理制度，相关资金管理制度合法、合规、完整。得0.5分；           </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②相关资产管理制度得到有效执行，得0.5分。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108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资产管理安全性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部门的资产是否保存完整、使用合规、配置合理、处置规范、收入及时足额上缴，用以反映和考核部门资产安全运行情况。</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①资产保存完整、配置合理、处置规范，得0.5分；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②资产账务管理合规，帐实相符，资产有偿使用及处置收入及时足额上缴，得0.5分。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108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固定资产利用率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实际在用固定资产总额与所有固定资产总额的比率，用以反映和考核部门固定资产使用效率程度。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固定资产利用率=（实际在用固定资产总额/所有固定资产总额）×100%。</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固定资产利用率=100%，得1分；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每低一个百分点，扣0.1分，扣完为止。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1920" w:hRule="atLeast"/>
          <w:jc w:val="center"/>
        </w:trPr>
        <w:tc>
          <w:tcPr>
            <w:tcW w:w="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产出</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职责</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履行</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30</w:t>
            </w: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实际完成率</w:t>
            </w:r>
          </w:p>
        </w:tc>
        <w:tc>
          <w:tcPr>
            <w:tcW w:w="5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24</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部门履行职责而实际完成工作数与计划工作数的比率，用以反映和考核部门履职工作任务目标的实现程度。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实际完成率=（实际完成工作数/计划工作数）×100%。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实际完成工作数：一定时期（年度或规划期）内部门实际完成工作任务的数量。</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计划工作数：部门整体绩效目标确定的一定时期（年度或规划期）内预计完成工作任务的数量。</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21</w:t>
            </w:r>
          </w:p>
        </w:tc>
      </w:tr>
      <w:tr>
        <w:tblPrEx>
          <w:tblCellMar>
            <w:top w:w="0" w:type="dxa"/>
            <w:left w:w="108" w:type="dxa"/>
            <w:bottom w:w="0" w:type="dxa"/>
            <w:right w:w="108" w:type="dxa"/>
          </w:tblCellMar>
        </w:tblPrEx>
        <w:trPr>
          <w:trHeight w:val="1459"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完成及时率</w:t>
            </w:r>
          </w:p>
        </w:tc>
        <w:tc>
          <w:tcPr>
            <w:tcW w:w="5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部门在规定时限内及时完成的实际工作数与计划工作数的比率,用以反映和考核部门履职时效目标的实现程度。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完成及时率=（及时完成实际工作数/计划工作数）×100%。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及时完成实际工作数：部门按照整体绩效目标确定的时限实际完成的工作任务数量。</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148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质量达标率</w:t>
            </w:r>
          </w:p>
        </w:tc>
        <w:tc>
          <w:tcPr>
            <w:tcW w:w="5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达到质量标准（绩效标准值）的实际工作数与计划工作数的比率,用以反映和考核部门履职质量目标的实现程度。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质量达标率=（质量达标实际工作数/计划工作数）×100%。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质量达标实际工作数：一定时期（年度或规划期）内部门实际完成工作数中达到部门绩效目标要求（绩效标准值）的工作任务数量。</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102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重点工作办结率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6</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部门年度重点工作实际完成数与交办或下达数的比率，用以反映部门对重点工作的办理落实程度。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重点工作办结率=（重点工作实际完成数/交办或下达数）×100%。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重点工作是指党委、政府、人大、相关部门交办或下达的工作任务。</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6</w:t>
            </w:r>
          </w:p>
        </w:tc>
      </w:tr>
      <w:tr>
        <w:tblPrEx>
          <w:tblCellMar>
            <w:top w:w="0" w:type="dxa"/>
            <w:left w:w="108" w:type="dxa"/>
            <w:bottom w:w="0" w:type="dxa"/>
            <w:right w:w="108" w:type="dxa"/>
          </w:tblCellMar>
        </w:tblPrEx>
        <w:trPr>
          <w:trHeight w:val="1122" w:hRule="atLeast"/>
          <w:jc w:val="center"/>
        </w:trPr>
        <w:tc>
          <w:tcPr>
            <w:tcW w:w="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效果</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履职</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效益</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30</w:t>
            </w:r>
          </w:p>
        </w:tc>
        <w:tc>
          <w:tcPr>
            <w:tcW w:w="676" w:type="dxa"/>
            <w:tcBorders>
              <w:top w:val="single" w:color="auto" w:sz="4" w:space="0"/>
              <w:left w:val="nil"/>
              <w:bottom w:val="single" w:color="auto" w:sz="4" w:space="0"/>
              <w:right w:val="nil"/>
            </w:tcBorders>
            <w:noWrap/>
            <w:vAlign w:val="center"/>
          </w:tcPr>
          <w:p>
            <w:pPr>
              <w:widowControl/>
              <w:spacing w:line="280" w:lineRule="exac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实施效益</w:t>
            </w:r>
          </w:p>
        </w:tc>
        <w:tc>
          <w:tcPr>
            <w:tcW w:w="5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22</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部门履行职责对经济发展、社会发展和生态环境等所带来的直接或间接影响。</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此指标为设置部门整体支出绩效评价指标时必须考虑的共性要素，可根据部门实际并结合部门整体支出绩效目标设立情况有选择的进行设置，并将其细化为相应的个性化指标。</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22</w:t>
            </w:r>
          </w:p>
        </w:tc>
      </w:tr>
      <w:tr>
        <w:tblPrEx>
          <w:tblCellMar>
            <w:top w:w="0" w:type="dxa"/>
            <w:left w:w="108" w:type="dxa"/>
            <w:bottom w:w="0" w:type="dxa"/>
            <w:right w:w="108" w:type="dxa"/>
          </w:tblCellMar>
        </w:tblPrEx>
        <w:trPr>
          <w:trHeight w:val="64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行政效能</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政府对机关工作实施情况的具体评价，以年度政府考核结果为依据。</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优秀计3分，良好计2分，合格计1分，不合格计0分。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3</w:t>
            </w:r>
          </w:p>
        </w:tc>
      </w:tr>
      <w:tr>
        <w:tblPrEx>
          <w:tblCellMar>
            <w:top w:w="0" w:type="dxa"/>
            <w:left w:w="108" w:type="dxa"/>
            <w:bottom w:w="0" w:type="dxa"/>
            <w:right w:w="108" w:type="dxa"/>
          </w:tblCellMar>
        </w:tblPrEx>
        <w:trPr>
          <w:trHeight w:val="799"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社会公众或服务对象满意度</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社会公众或部门的服务对象对部门履职效果的满意程度。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社会公众或服务对象是指部门履行职责而影响到的部门、群体或个人。</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≥90%，得5分；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每降低1%，扣0.5分，扣完为止。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4"/>
                <w:szCs w:val="24"/>
                <w:lang w:val="en-US" w:eastAsia="zh-CN"/>
              </w:rPr>
              <w:t>5</w:t>
            </w:r>
          </w:p>
        </w:tc>
      </w:tr>
      <w:tr>
        <w:tblPrEx>
          <w:tblCellMar>
            <w:top w:w="0" w:type="dxa"/>
            <w:left w:w="108" w:type="dxa"/>
            <w:bottom w:w="0" w:type="dxa"/>
            <w:right w:w="108" w:type="dxa"/>
          </w:tblCellMar>
        </w:tblPrEx>
        <w:trPr>
          <w:trHeight w:val="420" w:hRule="atLeast"/>
          <w:jc w:val="center"/>
        </w:trPr>
        <w:tc>
          <w:tcPr>
            <w:tcW w:w="136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合计</w:t>
            </w:r>
          </w:p>
        </w:tc>
        <w:tc>
          <w:tcPr>
            <w:tcW w:w="548"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100</w:t>
            </w:r>
          </w:p>
        </w:tc>
        <w:tc>
          <w:tcPr>
            <w:tcW w:w="676"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　</w:t>
            </w:r>
          </w:p>
        </w:tc>
        <w:tc>
          <w:tcPr>
            <w:tcW w:w="5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100</w:t>
            </w:r>
          </w:p>
        </w:tc>
        <w:tc>
          <w:tcPr>
            <w:tcW w:w="334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　</w:t>
            </w:r>
          </w:p>
        </w:tc>
        <w:tc>
          <w:tcPr>
            <w:tcW w:w="3036"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　</w:t>
            </w:r>
          </w:p>
        </w:tc>
        <w:tc>
          <w:tcPr>
            <w:tcW w:w="72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w:t>
            </w:r>
            <w:r>
              <w:rPr>
                <w:rFonts w:hint="eastAsia" w:ascii="Times New Roman" w:hAnsi="Times New Roman" w:cs="Times New Roman"/>
                <w:b/>
                <w:bCs/>
                <w:kern w:val="0"/>
                <w:sz w:val="24"/>
                <w:szCs w:val="24"/>
                <w:lang w:val="en-US" w:eastAsia="zh-CN"/>
              </w:rPr>
              <w:t>97</w:t>
            </w:r>
          </w:p>
        </w:tc>
      </w:tr>
    </w:tbl>
    <w:p>
      <w:pPr>
        <w:widowControl/>
        <w:spacing w:line="560" w:lineRule="exact"/>
        <w:ind w:firstLine="608" w:firstLineChars="190"/>
        <w:rPr>
          <w:rFonts w:ascii="仿宋" w:hAnsi="仿宋" w:eastAsia="仿宋" w:cs="Times New Roman"/>
          <w:color w:val="000000"/>
          <w:sz w:val="32"/>
          <w:szCs w:val="32"/>
        </w:rPr>
      </w:pPr>
    </w:p>
    <w:p>
      <w:pPr>
        <w:widowControl/>
        <w:spacing w:line="560" w:lineRule="exact"/>
        <w:ind w:firstLine="608" w:firstLineChars="190"/>
        <w:rPr>
          <w:rFonts w:ascii="仿宋" w:hAnsi="仿宋" w:eastAsia="仿宋" w:cs="Times New Roman"/>
          <w:color w:val="000000"/>
          <w:sz w:val="32"/>
          <w:szCs w:val="32"/>
        </w:rPr>
      </w:pPr>
    </w:p>
    <w:p>
      <w:pPr>
        <w:pStyle w:val="2"/>
      </w:pPr>
    </w:p>
    <w:p/>
    <w:p>
      <w:pPr>
        <w:pStyle w:val="2"/>
      </w:pPr>
    </w:p>
    <w:p/>
    <w:p>
      <w:pPr>
        <w:pStyle w:val="2"/>
      </w:pPr>
    </w:p>
    <w:p>
      <w:pPr>
        <w:jc w:val="center"/>
        <w:rPr>
          <w:rFonts w:ascii="宋体" w:hAnsi="宋体" w:cs="宋体"/>
          <w:b/>
          <w:bCs/>
          <w:kern w:val="0"/>
          <w:sz w:val="20"/>
          <w:szCs w:val="20"/>
        </w:rPr>
      </w:pPr>
    </w:p>
    <w:sectPr>
      <w:pgSz w:w="11906" w:h="16838"/>
      <w:pgMar w:top="1417" w:right="1134" w:bottom="1417" w:left="1134" w:header="851" w:footer="992" w:gutter="0"/>
      <w:cols w:space="720" w:num="1"/>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5uYki3QEAAMIDAAAOAAAAAAAA&#10;AAEAIAAAAB8BAABkcnMvZTJvRG9jLnhtbFBLBQYAAAAABgAGAFkBAABu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64DA8"/>
    <w:multiLevelType w:val="multilevel"/>
    <w:tmpl w:val="07364DA8"/>
    <w:lvl w:ilvl="0" w:tentative="0">
      <w:start w:val="1"/>
      <w:numFmt w:val="japaneseCounting"/>
      <w:lvlText w:val="%1、"/>
      <w:lvlJc w:val="left"/>
      <w:pPr>
        <w:ind w:left="1839" w:hanging="420"/>
      </w:pPr>
      <w:rPr>
        <w:rFonts w:hint="default"/>
      </w:rPr>
    </w:lvl>
    <w:lvl w:ilvl="1" w:tentative="0">
      <w:start w:val="1"/>
      <w:numFmt w:val="lowerLetter"/>
      <w:lvlText w:val="%2)"/>
      <w:lvlJc w:val="left"/>
      <w:pPr>
        <w:ind w:left="2238" w:hanging="420"/>
      </w:pPr>
    </w:lvl>
    <w:lvl w:ilvl="2" w:tentative="0">
      <w:start w:val="1"/>
      <w:numFmt w:val="lowerRoman"/>
      <w:lvlText w:val="%3."/>
      <w:lvlJc w:val="right"/>
      <w:pPr>
        <w:ind w:left="2658" w:hanging="420"/>
      </w:pPr>
    </w:lvl>
    <w:lvl w:ilvl="3" w:tentative="0">
      <w:start w:val="1"/>
      <w:numFmt w:val="decimal"/>
      <w:lvlText w:val="%4."/>
      <w:lvlJc w:val="left"/>
      <w:pPr>
        <w:ind w:left="3078" w:hanging="420"/>
      </w:pPr>
    </w:lvl>
    <w:lvl w:ilvl="4" w:tentative="0">
      <w:start w:val="1"/>
      <w:numFmt w:val="lowerLetter"/>
      <w:lvlText w:val="%5)"/>
      <w:lvlJc w:val="left"/>
      <w:pPr>
        <w:ind w:left="3498" w:hanging="420"/>
      </w:pPr>
    </w:lvl>
    <w:lvl w:ilvl="5" w:tentative="0">
      <w:start w:val="1"/>
      <w:numFmt w:val="lowerRoman"/>
      <w:lvlText w:val="%6."/>
      <w:lvlJc w:val="right"/>
      <w:pPr>
        <w:ind w:left="3918" w:hanging="420"/>
      </w:pPr>
    </w:lvl>
    <w:lvl w:ilvl="6" w:tentative="0">
      <w:start w:val="1"/>
      <w:numFmt w:val="decimal"/>
      <w:lvlText w:val="%7."/>
      <w:lvlJc w:val="left"/>
      <w:pPr>
        <w:ind w:left="4338" w:hanging="420"/>
      </w:pPr>
    </w:lvl>
    <w:lvl w:ilvl="7" w:tentative="0">
      <w:start w:val="1"/>
      <w:numFmt w:val="lowerLetter"/>
      <w:lvlText w:val="%8)"/>
      <w:lvlJc w:val="left"/>
      <w:pPr>
        <w:ind w:left="4758" w:hanging="420"/>
      </w:pPr>
    </w:lvl>
    <w:lvl w:ilvl="8" w:tentative="0">
      <w:start w:val="1"/>
      <w:numFmt w:val="lowerRoman"/>
      <w:lvlText w:val="%9."/>
      <w:lvlJc w:val="right"/>
      <w:pPr>
        <w:ind w:left="5178" w:hanging="420"/>
      </w:pPr>
    </w:lvl>
  </w:abstractNum>
  <w:abstractNum w:abstractNumId="1">
    <w:nsid w:val="26E429CB"/>
    <w:multiLevelType w:val="singleLevel"/>
    <w:tmpl w:val="26E429C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B66FA"/>
    <w:rsid w:val="000137B1"/>
    <w:rsid w:val="00124585"/>
    <w:rsid w:val="003B21C7"/>
    <w:rsid w:val="003B3653"/>
    <w:rsid w:val="00434EC0"/>
    <w:rsid w:val="00AA13CE"/>
    <w:rsid w:val="00B8406A"/>
    <w:rsid w:val="00DA2024"/>
    <w:rsid w:val="02072E2A"/>
    <w:rsid w:val="050002BD"/>
    <w:rsid w:val="059353AD"/>
    <w:rsid w:val="083308AB"/>
    <w:rsid w:val="08C22D1F"/>
    <w:rsid w:val="0B395AB8"/>
    <w:rsid w:val="0FCE22CD"/>
    <w:rsid w:val="15546E66"/>
    <w:rsid w:val="16195EE8"/>
    <w:rsid w:val="17563F2D"/>
    <w:rsid w:val="1ABF306F"/>
    <w:rsid w:val="1C1742CE"/>
    <w:rsid w:val="1F294332"/>
    <w:rsid w:val="1FC9270F"/>
    <w:rsid w:val="2094382E"/>
    <w:rsid w:val="20EC1DC8"/>
    <w:rsid w:val="24C71EEA"/>
    <w:rsid w:val="24CC2ABB"/>
    <w:rsid w:val="25C138B8"/>
    <w:rsid w:val="26FF72FE"/>
    <w:rsid w:val="28420231"/>
    <w:rsid w:val="28AC55BD"/>
    <w:rsid w:val="2AFA3DEA"/>
    <w:rsid w:val="2C40047D"/>
    <w:rsid w:val="2E7B1178"/>
    <w:rsid w:val="2F4D1AC1"/>
    <w:rsid w:val="306B7990"/>
    <w:rsid w:val="30D02ED0"/>
    <w:rsid w:val="319C44A9"/>
    <w:rsid w:val="31A45675"/>
    <w:rsid w:val="336715E9"/>
    <w:rsid w:val="34271139"/>
    <w:rsid w:val="352637E4"/>
    <w:rsid w:val="36032D5C"/>
    <w:rsid w:val="38B44595"/>
    <w:rsid w:val="3A34605D"/>
    <w:rsid w:val="3A6D71DE"/>
    <w:rsid w:val="3E164EF2"/>
    <w:rsid w:val="4103244D"/>
    <w:rsid w:val="438D32B5"/>
    <w:rsid w:val="44BB5F01"/>
    <w:rsid w:val="44C85610"/>
    <w:rsid w:val="48280889"/>
    <w:rsid w:val="48DC3FBB"/>
    <w:rsid w:val="49E315A5"/>
    <w:rsid w:val="4CC4709A"/>
    <w:rsid w:val="4F1E505A"/>
    <w:rsid w:val="515A2BB3"/>
    <w:rsid w:val="529112E2"/>
    <w:rsid w:val="560315B0"/>
    <w:rsid w:val="5A344CDB"/>
    <w:rsid w:val="5B9A367F"/>
    <w:rsid w:val="5CF93F15"/>
    <w:rsid w:val="5ECC5D50"/>
    <w:rsid w:val="61474B51"/>
    <w:rsid w:val="6412273A"/>
    <w:rsid w:val="645B66FA"/>
    <w:rsid w:val="64C30BE8"/>
    <w:rsid w:val="65486019"/>
    <w:rsid w:val="65A07074"/>
    <w:rsid w:val="66524B25"/>
    <w:rsid w:val="69072A18"/>
    <w:rsid w:val="6A142BBA"/>
    <w:rsid w:val="6AFA23D9"/>
    <w:rsid w:val="6BD0347F"/>
    <w:rsid w:val="6BE6248C"/>
    <w:rsid w:val="6C7D4350"/>
    <w:rsid w:val="6D8049B5"/>
    <w:rsid w:val="6EE33885"/>
    <w:rsid w:val="70C943F9"/>
    <w:rsid w:val="791805CF"/>
    <w:rsid w:val="7D5379C3"/>
    <w:rsid w:val="7ECC7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rPr>
      <w:rFonts w:cs="Times New Roman"/>
    </w:rPr>
  </w:style>
  <w:style w:type="paragraph" w:styleId="3">
    <w:name w:val="Normal Indent"/>
    <w:basedOn w:val="1"/>
    <w:qFormat/>
    <w:uiPriority w:val="0"/>
    <w:pPr>
      <w:ind w:firstLine="420"/>
    </w:pPr>
    <w:rPr>
      <w:rFonts w:ascii="Calibri" w:hAnsi="Calibri"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jc w:val="left"/>
    </w:pPr>
    <w:rPr>
      <w:rFonts w:cs="Times New Roman"/>
      <w:kern w:val="0"/>
      <w:sz w:val="24"/>
    </w:rPr>
  </w:style>
  <w:style w:type="character" w:styleId="8">
    <w:name w:val="Strong"/>
    <w:basedOn w:val="7"/>
    <w:qFormat/>
    <w:uiPriority w:val="0"/>
    <w:rPr>
      <w:b/>
    </w:rPr>
  </w:style>
  <w:style w:type="character" w:customStyle="1" w:styleId="9">
    <w:name w:val="font1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2822</Words>
  <Characters>3220</Characters>
  <Lines>75</Lines>
  <Paragraphs>21</Paragraphs>
  <TotalTime>4</TotalTime>
  <ScaleCrop>false</ScaleCrop>
  <LinksUpToDate>false</LinksUpToDate>
  <CharactersWithSpaces>3244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2021-09-08T02:40:00Z</dcterms:created>
  <dc:creator>webUser</dc:creator>
  <cp:lastModifiedBy>武陵区残疾人联合会</cp:lastModifiedBy>
  <dcterms:modified xsi:type="dcterms:W3CDTF">2025-09-01T01:24:25Z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2A4CF6B95F344E008D7F92A6349BB41C_13</vt:lpwstr>
  </property>
  <property fmtid="{D5CDD505-2E9C-101B-9397-08002B2CF9AE}" pid="4" name="KSOTemplateDocerSaveRecord">
    <vt:lpwstr>eyJoZGlkIjoiOTEwMDZjM2M2ZjE3MzJlMzYwYTQwYjczYzA4NGVlZTQiLCJ1c2VySWQiOiIxNDYzMjYzNzkxIn0=</vt:lpwstr>
  </property>
</Properties>
</file>