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hint="eastAsia" w:ascii="方正小标宋_GBK" w:hAnsi="方正小标宋_GBK" w:eastAsia="方正小标宋_GBK" w:cs="方正小标宋_GBK"/>
          <w:b w:val="0"/>
          <w:bCs/>
          <w:color w:val="000000"/>
          <w:kern w:val="0"/>
          <w:sz w:val="44"/>
          <w:szCs w:val="44"/>
        </w:rPr>
      </w:pPr>
      <w:r>
        <w:rPr>
          <w:rFonts w:hint="eastAsia" w:ascii="方正小标宋_GBK" w:hAnsi="方正小标宋_GBK" w:eastAsia="方正小标宋_GBK" w:cs="方正小标宋_GBK"/>
          <w:b w:val="0"/>
          <w:bCs/>
          <w:color w:val="000000"/>
          <w:kern w:val="0"/>
          <w:sz w:val="44"/>
          <w:szCs w:val="44"/>
        </w:rPr>
        <w:t>2023年度武陵区残联</w:t>
      </w:r>
      <w:r>
        <w:rPr>
          <w:rFonts w:hint="eastAsia" w:ascii="方正小标宋_GBK" w:hAnsi="方正小标宋_GBK" w:eastAsia="方正小标宋_GBK" w:cs="方正小标宋_GBK"/>
          <w:b w:val="0"/>
          <w:bCs/>
          <w:color w:val="000000"/>
          <w:kern w:val="0"/>
          <w:sz w:val="44"/>
          <w:szCs w:val="44"/>
          <w:lang w:eastAsia="zh-CN"/>
        </w:rPr>
        <w:t>部门</w:t>
      </w:r>
      <w:r>
        <w:rPr>
          <w:rFonts w:hint="eastAsia" w:ascii="方正小标宋_GBK" w:hAnsi="方正小标宋_GBK" w:eastAsia="方正小标宋_GBK" w:cs="方正小标宋_GBK"/>
          <w:b w:val="0"/>
          <w:bCs/>
          <w:color w:val="000000"/>
          <w:kern w:val="0"/>
          <w:sz w:val="44"/>
          <w:szCs w:val="44"/>
        </w:rPr>
        <w:t>整体支出</w:t>
      </w:r>
    </w:p>
    <w:p>
      <w:pPr>
        <w:spacing w:line="520" w:lineRule="exact"/>
        <w:jc w:val="center"/>
        <w:rPr>
          <w:rFonts w:hint="eastAsia" w:ascii="方正小标宋_GBK" w:hAnsi="方正小标宋_GBK" w:eastAsia="方正小标宋_GBK" w:cs="方正小标宋_GBK"/>
          <w:b w:val="0"/>
          <w:bCs/>
          <w:color w:val="000000"/>
          <w:kern w:val="0"/>
          <w:sz w:val="44"/>
          <w:szCs w:val="44"/>
        </w:rPr>
      </w:pPr>
      <w:r>
        <w:rPr>
          <w:rFonts w:hint="eastAsia" w:ascii="方正小标宋_GBK" w:hAnsi="方正小标宋_GBK" w:eastAsia="方正小标宋_GBK" w:cs="方正小标宋_GBK"/>
          <w:b w:val="0"/>
          <w:bCs/>
          <w:color w:val="000000"/>
          <w:kern w:val="0"/>
          <w:sz w:val="44"/>
          <w:szCs w:val="44"/>
        </w:rPr>
        <w:t>绩效自评报告</w:t>
      </w:r>
    </w:p>
    <w:p>
      <w:pPr>
        <w:pStyle w:val="3"/>
      </w:pPr>
    </w:p>
    <w:p>
      <w:pPr>
        <w:numPr>
          <w:ilvl w:val="0"/>
          <w:numId w:val="1"/>
        </w:numPr>
        <w:spacing w:line="600" w:lineRule="exact"/>
        <w:ind w:left="0" w:firstLine="608" w:firstLineChars="190"/>
        <w:rPr>
          <w:rFonts w:ascii="黑体" w:hAnsi="黑体" w:eastAsia="黑体"/>
          <w:sz w:val="32"/>
          <w:szCs w:val="32"/>
        </w:rPr>
      </w:pPr>
      <w:r>
        <w:rPr>
          <w:rFonts w:hint="eastAsia" w:ascii="黑体" w:hAnsi="黑体" w:eastAsia="黑体"/>
          <w:sz w:val="32"/>
          <w:szCs w:val="32"/>
        </w:rPr>
        <w:t>单位概况</w:t>
      </w:r>
    </w:p>
    <w:p>
      <w:pPr>
        <w:spacing w:line="600" w:lineRule="exact"/>
        <w:ind w:firstLine="608" w:firstLineChars="190"/>
        <w:rPr>
          <w:rFonts w:ascii="楷体" w:hAnsi="楷体" w:eastAsia="楷体" w:cs="仿宋"/>
          <w:sz w:val="32"/>
          <w:szCs w:val="32"/>
        </w:rPr>
      </w:pPr>
      <w:r>
        <w:rPr>
          <w:rFonts w:hint="eastAsia" w:ascii="楷体" w:hAnsi="楷体" w:eastAsia="楷体" w:cs="仿宋"/>
          <w:sz w:val="32"/>
          <w:szCs w:val="32"/>
        </w:rPr>
        <w:t>（一）机构、人员构成</w:t>
      </w:r>
    </w:p>
    <w:p>
      <w:pPr>
        <w:spacing w:line="640" w:lineRule="exact"/>
        <w:ind w:firstLine="640" w:firstLineChars="200"/>
        <w:rPr>
          <w:rFonts w:ascii="仿宋" w:hAnsi="仿宋" w:eastAsia="仿宋" w:cs="仿宋"/>
          <w:sz w:val="32"/>
          <w:szCs w:val="32"/>
        </w:rPr>
      </w:pPr>
      <w:r>
        <w:rPr>
          <w:rFonts w:hint="eastAsia" w:ascii="仿宋" w:hAnsi="仿宋" w:eastAsia="仿宋" w:cs="仿宋"/>
          <w:sz w:val="32"/>
          <w:szCs w:val="32"/>
        </w:rPr>
        <w:t>区残联是区财政全额拔款的正科级事业单位，是负责将残疾人自身代表组织、社会福利团体和事业管理机构融为一体的联合性团体；内设办公室、康复股、维权股、群宣股、组联股、计财股、残疾人就业服务中心等</w:t>
      </w:r>
      <w:r>
        <w:rPr>
          <w:rFonts w:hint="eastAsia" w:ascii="仿宋_GB2312" w:hAnsi="仿宋_GB2312" w:eastAsia="仿宋_GB2312" w:cs="仿宋_GB2312"/>
          <w:kern w:val="0"/>
          <w:sz w:val="30"/>
          <w:szCs w:val="30"/>
        </w:rPr>
        <w:t>7个股室</w:t>
      </w:r>
      <w:r>
        <w:rPr>
          <w:rFonts w:hint="eastAsia" w:ascii="仿宋" w:hAnsi="仿宋" w:eastAsia="仿宋" w:cs="仿宋"/>
          <w:sz w:val="32"/>
          <w:szCs w:val="32"/>
        </w:rPr>
        <w:t>；核定编制数</w:t>
      </w:r>
      <w:r>
        <w:rPr>
          <w:rFonts w:hint="eastAsia" w:ascii="仿宋_GB2312" w:hAnsi="仿宋"/>
          <w:sz w:val="32"/>
          <w:szCs w:val="32"/>
        </w:rPr>
        <w:t>1</w:t>
      </w:r>
      <w:r>
        <w:rPr>
          <w:rFonts w:hint="eastAsia" w:ascii="仿宋" w:hAnsi="仿宋" w:eastAsia="仿宋" w:cs="仿宋"/>
          <w:sz w:val="32"/>
          <w:szCs w:val="32"/>
        </w:rPr>
        <w:t>2人，聘用5人，在岗人员合计17人；离退休6人。</w:t>
      </w:r>
    </w:p>
    <w:p>
      <w:pPr>
        <w:spacing w:line="600" w:lineRule="exact"/>
        <w:ind w:firstLine="608" w:firstLineChars="190"/>
        <w:rPr>
          <w:rFonts w:ascii="楷体" w:hAnsi="楷体" w:eastAsia="楷体" w:cs="仿宋"/>
          <w:sz w:val="32"/>
          <w:szCs w:val="32"/>
        </w:rPr>
      </w:pPr>
      <w:r>
        <w:rPr>
          <w:rFonts w:hint="eastAsia" w:ascii="楷体" w:hAnsi="楷体" w:eastAsia="楷体" w:cs="仿宋"/>
          <w:sz w:val="32"/>
          <w:szCs w:val="32"/>
        </w:rPr>
        <w:t>（二）单位主要职责</w:t>
      </w:r>
    </w:p>
    <w:p>
      <w:pPr>
        <w:ind w:firstLine="608" w:firstLineChars="190"/>
        <w:rPr>
          <w:rFonts w:ascii="仿宋" w:hAnsi="仿宋" w:eastAsia="仿宋" w:cs="仿宋"/>
          <w:sz w:val="32"/>
          <w:szCs w:val="32"/>
        </w:rPr>
      </w:pPr>
      <w:r>
        <w:rPr>
          <w:rFonts w:hint="eastAsia" w:ascii="仿宋" w:hAnsi="仿宋" w:eastAsia="仿宋" w:cs="仿宋"/>
          <w:sz w:val="32"/>
          <w:szCs w:val="32"/>
        </w:rPr>
        <w:t>密切联系残疾人，听取残疾人意见，反映残疾人需求，维护残疾人权益，为残疾人服务；团结、教育残疾人遵守法律，履行应尽义务，发扬乐观进取精神，自尊、自信、自强、自立，为社会主义建设贡献力量；弘扬人道主义，宣传残疾人事业，沟通政府、社会与残疾人之间的联系，动员社会力量理解、尊重、关心、帮助残疾人；开展和促进残疾人康复、教育、劳动就业、扶贫、文化、体育、科研、用品用具供应、福利、社会服务、无障碍设施和残疾预防等工作，创造良好的环境和条件，扶助残疾人平等参与社会生活；协助政府研究、制定和实施残疾人事业的规章、规划和计划，对有关业务进行指导和管理；会同有关部门指导和管理各类残疾人社团组织；承担区人民政府残疾人工作协调委员会的日常工作，做好综合、组织、协调和服务；承办区委、区人民政府交办的其他事项。</w:t>
      </w:r>
    </w:p>
    <w:p>
      <w:pPr>
        <w:spacing w:line="600" w:lineRule="exact"/>
        <w:ind w:firstLine="608" w:firstLineChars="190"/>
        <w:rPr>
          <w:rFonts w:ascii="黑体" w:hAnsi="黑体" w:eastAsia="黑体"/>
          <w:sz w:val="32"/>
          <w:szCs w:val="32"/>
        </w:rPr>
      </w:pPr>
      <w:r>
        <w:rPr>
          <w:rFonts w:hint="eastAsia" w:ascii="黑体" w:hAnsi="黑体" w:eastAsia="黑体"/>
          <w:sz w:val="32"/>
          <w:szCs w:val="32"/>
        </w:rPr>
        <w:t>二、部门财务情况</w:t>
      </w:r>
    </w:p>
    <w:p>
      <w:pPr>
        <w:spacing w:line="600" w:lineRule="exact"/>
        <w:ind w:firstLine="608" w:firstLineChars="190"/>
        <w:rPr>
          <w:rFonts w:ascii="楷体" w:hAnsi="楷体" w:eastAsia="楷体" w:cs="仿宋"/>
          <w:sz w:val="32"/>
          <w:szCs w:val="32"/>
        </w:rPr>
      </w:pPr>
      <w:r>
        <w:rPr>
          <w:rFonts w:hint="eastAsia" w:ascii="楷体" w:hAnsi="楷体" w:eastAsia="楷体" w:cs="仿宋"/>
          <w:sz w:val="32"/>
          <w:szCs w:val="32"/>
        </w:rPr>
        <w:t>（一）2023年部门整体收支情况</w:t>
      </w:r>
    </w:p>
    <w:p>
      <w:pPr>
        <w:widowControl/>
        <w:tabs>
          <w:tab w:val="left" w:pos="5565"/>
        </w:tabs>
        <w:spacing w:before="100" w:after="100" w:line="560" w:lineRule="exact"/>
        <w:ind w:firstLine="608" w:firstLineChars="190"/>
        <w:jc w:val="left"/>
        <w:rPr>
          <w:rFonts w:ascii="仿宋" w:hAnsi="仿宋" w:eastAsia="仿宋" w:cs="仿宋"/>
          <w:kern w:val="0"/>
          <w:sz w:val="32"/>
          <w:szCs w:val="32"/>
        </w:rPr>
      </w:pPr>
      <w:r>
        <w:rPr>
          <w:rFonts w:hint="eastAsia" w:ascii="仿宋" w:hAnsi="仿宋" w:eastAsia="仿宋" w:cs="仿宋"/>
          <w:kern w:val="0"/>
          <w:sz w:val="32"/>
          <w:szCs w:val="32"/>
        </w:rPr>
        <w:t>2023年度，</w:t>
      </w:r>
      <w:r>
        <w:rPr>
          <w:rFonts w:hint="eastAsia" w:ascii="仿宋" w:hAnsi="仿宋" w:eastAsia="仿宋" w:cs="仿宋"/>
          <w:sz w:val="32"/>
          <w:szCs w:val="32"/>
        </w:rPr>
        <w:t>财政拨款收入800.68万元。</w:t>
      </w:r>
      <w:r>
        <w:rPr>
          <w:rFonts w:hint="eastAsia" w:ascii="仿宋" w:hAnsi="仿宋" w:eastAsia="仿宋" w:cs="仿宋"/>
          <w:kern w:val="0"/>
          <w:sz w:val="32"/>
          <w:szCs w:val="32"/>
        </w:rPr>
        <w:t>部门整体支出800.68万元，其中：基本支出264.69万元，项目支出535.99万元。</w:t>
      </w:r>
    </w:p>
    <w:p>
      <w:pPr>
        <w:widowControl/>
        <w:tabs>
          <w:tab w:val="left" w:pos="5565"/>
        </w:tabs>
        <w:spacing w:before="100" w:after="100" w:line="560" w:lineRule="exact"/>
        <w:ind w:firstLine="608" w:firstLineChars="190"/>
        <w:jc w:val="left"/>
        <w:rPr>
          <w:rFonts w:ascii="仿宋" w:hAnsi="仿宋" w:eastAsia="仿宋" w:cs="仿宋"/>
          <w:kern w:val="0"/>
          <w:sz w:val="32"/>
          <w:szCs w:val="32"/>
        </w:rPr>
      </w:pPr>
      <w:r>
        <w:rPr>
          <w:rFonts w:hint="eastAsia" w:ascii="仿宋" w:hAnsi="仿宋" w:eastAsia="仿宋" w:cs="仿宋"/>
          <w:kern w:val="0"/>
          <w:sz w:val="32"/>
          <w:szCs w:val="32"/>
        </w:rPr>
        <w:t>基本支出包括：工资福利支出203.23万元</w:t>
      </w:r>
      <w:r>
        <w:rPr>
          <w:rFonts w:hint="eastAsia" w:ascii="仿宋" w:hAnsi="仿宋" w:eastAsia="仿宋" w:cs="仿宋"/>
          <w:sz w:val="32"/>
          <w:szCs w:val="32"/>
        </w:rPr>
        <w:t>，占比76.78%；</w:t>
      </w:r>
      <w:r>
        <w:rPr>
          <w:rFonts w:hint="eastAsia" w:ascii="仿宋" w:hAnsi="仿宋" w:eastAsia="仿宋" w:cs="仿宋"/>
          <w:kern w:val="0"/>
          <w:sz w:val="32"/>
          <w:szCs w:val="32"/>
        </w:rPr>
        <w:t>一般商品和服务支出49.70万元</w:t>
      </w:r>
      <w:r>
        <w:rPr>
          <w:rFonts w:hint="eastAsia" w:ascii="仿宋" w:hAnsi="仿宋" w:eastAsia="仿宋" w:cs="仿宋"/>
          <w:sz w:val="32"/>
          <w:szCs w:val="32"/>
        </w:rPr>
        <w:t>，占比18.78%；</w:t>
      </w:r>
      <w:r>
        <w:rPr>
          <w:rFonts w:hint="eastAsia" w:ascii="仿宋" w:hAnsi="仿宋" w:eastAsia="仿宋" w:cs="仿宋"/>
          <w:kern w:val="0"/>
          <w:sz w:val="32"/>
          <w:szCs w:val="32"/>
        </w:rPr>
        <w:t>对个人和家庭的补助支出11.76万元</w:t>
      </w:r>
      <w:r>
        <w:rPr>
          <w:rFonts w:hint="eastAsia" w:ascii="仿宋" w:hAnsi="仿宋" w:eastAsia="仿宋" w:cs="仿宋"/>
          <w:sz w:val="32"/>
          <w:szCs w:val="32"/>
        </w:rPr>
        <w:t>，占比4.44%</w:t>
      </w:r>
      <w:r>
        <w:rPr>
          <w:rFonts w:hint="eastAsia" w:ascii="仿宋" w:hAnsi="仿宋" w:eastAsia="仿宋" w:cs="仿宋"/>
          <w:kern w:val="0"/>
          <w:sz w:val="32"/>
          <w:szCs w:val="32"/>
        </w:rPr>
        <w:t>。</w:t>
      </w:r>
    </w:p>
    <w:p>
      <w:pPr>
        <w:spacing w:line="600" w:lineRule="exact"/>
        <w:ind w:firstLine="608" w:firstLineChars="190"/>
        <w:rPr>
          <w:rFonts w:ascii="仿宋" w:hAnsi="仿宋" w:eastAsia="仿宋" w:cs="仿宋"/>
          <w:sz w:val="32"/>
          <w:szCs w:val="32"/>
        </w:rPr>
      </w:pPr>
      <w:r>
        <w:rPr>
          <w:rFonts w:hint="eastAsia" w:ascii="仿宋" w:hAnsi="仿宋" w:eastAsia="仿宋" w:cs="仿宋"/>
          <w:sz w:val="32"/>
          <w:szCs w:val="32"/>
        </w:rPr>
        <w:t>项目支出包括：商品服务支出323.26万元，占比60.31%；对个人和家庭补助支出64.35万元，占比12%；对企业补助148.38万元，占比27.69%。</w:t>
      </w:r>
    </w:p>
    <w:p>
      <w:pPr>
        <w:spacing w:line="600" w:lineRule="exact"/>
        <w:ind w:firstLine="608" w:firstLineChars="190"/>
        <w:rPr>
          <w:rFonts w:ascii="楷体" w:hAnsi="楷体" w:eastAsia="楷体" w:cs="仿宋"/>
          <w:sz w:val="32"/>
          <w:szCs w:val="32"/>
        </w:rPr>
      </w:pPr>
      <w:r>
        <w:rPr>
          <w:rFonts w:hint="eastAsia" w:ascii="楷体" w:hAnsi="楷体" w:eastAsia="楷体" w:cs="仿宋"/>
          <w:sz w:val="32"/>
          <w:szCs w:val="32"/>
        </w:rPr>
        <w:t>（二）2023年部门预算收支决算情况</w:t>
      </w:r>
    </w:p>
    <w:p>
      <w:pPr>
        <w:spacing w:line="640" w:lineRule="exact"/>
        <w:ind w:firstLine="608" w:firstLineChars="190"/>
        <w:rPr>
          <w:rFonts w:ascii="仿宋" w:hAnsi="仿宋" w:eastAsia="仿宋" w:cs="仿宋"/>
          <w:sz w:val="32"/>
          <w:szCs w:val="32"/>
        </w:rPr>
      </w:pPr>
      <w:r>
        <w:rPr>
          <w:rFonts w:hint="eastAsia" w:ascii="仿宋" w:hAnsi="仿宋" w:eastAsia="仿宋" w:cs="仿宋"/>
          <w:sz w:val="32"/>
          <w:szCs w:val="32"/>
        </w:rPr>
        <w:t>2023年一般公共预算财政拨款总收入684.16万元，占财政拨款总收入的85.45%。政府性基金预算拨款116.52万元，占财政拨款收入的14.55%。</w:t>
      </w:r>
    </w:p>
    <w:p>
      <w:pPr>
        <w:spacing w:line="640" w:lineRule="exact"/>
        <w:ind w:firstLine="608" w:firstLineChars="190"/>
        <w:rPr>
          <w:rFonts w:hint="eastAsia" w:ascii="仿宋" w:hAnsi="仿宋" w:eastAsia="仿宋" w:cs="仿宋"/>
          <w:sz w:val="32"/>
          <w:szCs w:val="32"/>
        </w:rPr>
      </w:pPr>
      <w:r>
        <w:rPr>
          <w:rFonts w:hint="eastAsia" w:ascii="仿宋" w:hAnsi="仿宋" w:eastAsia="仿宋" w:cs="仿宋"/>
          <w:sz w:val="32"/>
          <w:szCs w:val="32"/>
        </w:rPr>
        <w:t>2023年总支出800.68万元，比上年减少33.04%。支出减少的原因主要是1.某些项目应达不到预计的社会效应予以取消；2.另一些项目与其他职能部门的项目重叠，故予以取消；3.某些项目尚在结算阶段，支出金额尚未支付。</w:t>
      </w:r>
    </w:p>
    <w:p>
      <w:pPr>
        <w:pStyle w:val="3"/>
        <w:rPr>
          <w:rFonts w:hint="eastAsia" w:ascii="仿宋" w:hAnsi="仿宋" w:eastAsia="仿宋" w:cs="仿宋"/>
          <w:sz w:val="32"/>
          <w:szCs w:val="32"/>
        </w:rPr>
      </w:pPr>
    </w:p>
    <w:p/>
    <w:p/>
    <w:tbl>
      <w:tblPr>
        <w:tblStyle w:val="5"/>
        <w:tblW w:w="0" w:type="auto"/>
        <w:tblInd w:w="0" w:type="dxa"/>
        <w:tblLayout w:type="fixed"/>
        <w:tblCellMar>
          <w:top w:w="0" w:type="dxa"/>
          <w:left w:w="0" w:type="dxa"/>
          <w:bottom w:w="0" w:type="dxa"/>
          <w:right w:w="0" w:type="dxa"/>
        </w:tblCellMar>
      </w:tblPr>
      <w:tblGrid>
        <w:gridCol w:w="2112"/>
        <w:gridCol w:w="1447"/>
        <w:gridCol w:w="1118"/>
        <w:gridCol w:w="1290"/>
        <w:gridCol w:w="1530"/>
        <w:gridCol w:w="1650"/>
      </w:tblGrid>
      <w:tr>
        <w:tblPrEx>
          <w:tblCellMar>
            <w:top w:w="0" w:type="dxa"/>
            <w:left w:w="0" w:type="dxa"/>
            <w:bottom w:w="0" w:type="dxa"/>
            <w:right w:w="0" w:type="dxa"/>
          </w:tblCellMar>
        </w:tblPrEx>
        <w:trPr>
          <w:trHeight w:val="285" w:hRule="atLeast"/>
        </w:trPr>
        <w:tc>
          <w:tcPr>
            <w:tcW w:w="9147" w:type="dxa"/>
            <w:gridSpan w:val="6"/>
            <w:tcBorders>
              <w:top w:val="nil"/>
              <w:left w:val="nil"/>
              <w:bottom w:val="nil"/>
              <w:right w:val="nil"/>
            </w:tcBorders>
            <w:noWrap/>
            <w:tcMar>
              <w:top w:w="15" w:type="dxa"/>
              <w:left w:w="15" w:type="dxa"/>
              <w:right w:w="15" w:type="dxa"/>
            </w:tcMar>
            <w:vAlign w:val="center"/>
          </w:tcPr>
          <w:p>
            <w:pPr>
              <w:widowControl/>
              <w:ind w:firstLine="456" w:firstLineChars="190"/>
              <w:jc w:val="righ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金额单位：万元</w:t>
            </w:r>
          </w:p>
        </w:tc>
      </w:tr>
      <w:tr>
        <w:tblPrEx>
          <w:tblCellMar>
            <w:top w:w="0" w:type="dxa"/>
            <w:left w:w="0" w:type="dxa"/>
            <w:bottom w:w="0" w:type="dxa"/>
            <w:right w:w="0" w:type="dxa"/>
          </w:tblCellMar>
        </w:tblPrEx>
        <w:trPr>
          <w:trHeight w:val="370" w:hRule="atLeast"/>
        </w:trPr>
        <w:tc>
          <w:tcPr>
            <w:tcW w:w="211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财政供养人员情况</w:t>
            </w:r>
          </w:p>
        </w:tc>
        <w:tc>
          <w:tcPr>
            <w:tcW w:w="1447"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编制数</w:t>
            </w:r>
          </w:p>
        </w:tc>
        <w:tc>
          <w:tcPr>
            <w:tcW w:w="11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在职人数</w:t>
            </w: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控制率</w:t>
            </w:r>
          </w:p>
        </w:tc>
        <w:tc>
          <w:tcPr>
            <w:tcW w:w="153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2022与2023决算分析对比</w:t>
            </w:r>
          </w:p>
        </w:tc>
        <w:tc>
          <w:tcPr>
            <w:tcW w:w="16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2023预算与决算分析对比</w:t>
            </w:r>
          </w:p>
        </w:tc>
      </w:tr>
      <w:tr>
        <w:tblPrEx>
          <w:tblCellMar>
            <w:top w:w="0" w:type="dxa"/>
            <w:left w:w="0" w:type="dxa"/>
            <w:bottom w:w="0" w:type="dxa"/>
            <w:right w:w="0" w:type="dxa"/>
          </w:tblCellMar>
        </w:tblPrEx>
        <w:trPr>
          <w:trHeight w:val="290" w:hRule="atLeast"/>
        </w:trPr>
        <w:tc>
          <w:tcPr>
            <w:tcW w:w="211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仿宋"/>
                <w:color w:val="000000"/>
                <w:sz w:val="24"/>
                <w:szCs w:val="24"/>
              </w:rPr>
            </w:pPr>
          </w:p>
        </w:tc>
        <w:tc>
          <w:tcPr>
            <w:tcW w:w="1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12</w:t>
            </w:r>
          </w:p>
        </w:tc>
        <w:tc>
          <w:tcPr>
            <w:tcW w:w="1118"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12</w:t>
            </w: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100%</w:t>
            </w:r>
          </w:p>
        </w:tc>
        <w:tc>
          <w:tcPr>
            <w:tcW w:w="15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仿宋"/>
                <w:color w:val="000000"/>
                <w:sz w:val="24"/>
                <w:szCs w:val="24"/>
              </w:rPr>
            </w:pPr>
          </w:p>
        </w:tc>
        <w:tc>
          <w:tcPr>
            <w:tcW w:w="16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仿宋"/>
                <w:color w:val="000000"/>
                <w:sz w:val="24"/>
                <w:szCs w:val="24"/>
              </w:rPr>
            </w:pPr>
          </w:p>
        </w:tc>
      </w:tr>
      <w:tr>
        <w:tblPrEx>
          <w:tblCellMar>
            <w:top w:w="0" w:type="dxa"/>
            <w:left w:w="0" w:type="dxa"/>
            <w:bottom w:w="0" w:type="dxa"/>
            <w:right w:w="0" w:type="dxa"/>
          </w:tblCellMar>
        </w:tblPrEx>
        <w:trPr>
          <w:trHeight w:val="569" w:hRule="atLeast"/>
        </w:trPr>
        <w:tc>
          <w:tcPr>
            <w:tcW w:w="21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经费控制情况</w:t>
            </w:r>
          </w:p>
        </w:tc>
        <w:tc>
          <w:tcPr>
            <w:tcW w:w="1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Style w:val="8"/>
                <w:rFonts w:ascii="仿宋" w:hAnsi="仿宋" w:eastAsia="仿宋" w:cs="仿宋"/>
                <w:sz w:val="24"/>
                <w:szCs w:val="24"/>
                <w:lang w:bidi="ar"/>
              </w:rPr>
              <w:t>2022年决算数</w:t>
            </w:r>
          </w:p>
        </w:tc>
        <w:tc>
          <w:tcPr>
            <w:tcW w:w="11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Style w:val="8"/>
                <w:rFonts w:ascii="仿宋" w:hAnsi="仿宋" w:eastAsia="仿宋" w:cs="仿宋"/>
                <w:sz w:val="24"/>
                <w:szCs w:val="24"/>
                <w:lang w:bidi="ar"/>
              </w:rPr>
              <w:t>2023年预算数</w:t>
            </w: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 w:hAnsi="仿宋" w:eastAsia="仿宋" w:cs="仿宋"/>
                <w:color w:val="000000"/>
                <w:sz w:val="24"/>
                <w:szCs w:val="24"/>
              </w:rPr>
            </w:pPr>
            <w:r>
              <w:rPr>
                <w:rStyle w:val="8"/>
                <w:rFonts w:ascii="仿宋" w:hAnsi="仿宋" w:eastAsia="仿宋" w:cs="仿宋"/>
                <w:sz w:val="24"/>
                <w:szCs w:val="24"/>
                <w:lang w:bidi="ar"/>
              </w:rPr>
              <w:t>2023年决算数</w:t>
            </w:r>
          </w:p>
        </w:tc>
        <w:tc>
          <w:tcPr>
            <w:tcW w:w="15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仿宋"/>
                <w:color w:val="000000"/>
                <w:sz w:val="24"/>
                <w:szCs w:val="24"/>
              </w:rPr>
            </w:pPr>
          </w:p>
        </w:tc>
        <w:tc>
          <w:tcPr>
            <w:tcW w:w="16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仿宋"/>
                <w:color w:val="000000"/>
                <w:sz w:val="24"/>
                <w:szCs w:val="24"/>
              </w:rPr>
            </w:pPr>
          </w:p>
        </w:tc>
      </w:tr>
      <w:tr>
        <w:tblPrEx>
          <w:tblCellMar>
            <w:top w:w="0" w:type="dxa"/>
            <w:left w:w="0" w:type="dxa"/>
            <w:bottom w:w="0" w:type="dxa"/>
            <w:right w:w="0" w:type="dxa"/>
          </w:tblCellMar>
        </w:tblPrEx>
        <w:trPr>
          <w:trHeight w:val="366" w:hRule="atLeast"/>
        </w:trPr>
        <w:tc>
          <w:tcPr>
            <w:tcW w:w="21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left"/>
              <w:textAlignment w:val="bottom"/>
              <w:rPr>
                <w:rFonts w:ascii="仿宋" w:hAnsi="仿宋" w:eastAsia="仿宋" w:cs="仿宋"/>
                <w:b/>
                <w:color w:val="000000"/>
                <w:sz w:val="24"/>
                <w:szCs w:val="24"/>
              </w:rPr>
            </w:pPr>
            <w:r>
              <w:rPr>
                <w:rFonts w:hint="eastAsia" w:ascii="仿宋" w:hAnsi="仿宋" w:eastAsia="仿宋" w:cs="仿宋"/>
                <w:b/>
                <w:color w:val="000000"/>
                <w:kern w:val="0"/>
                <w:sz w:val="24"/>
                <w:szCs w:val="24"/>
                <w:lang w:bidi="ar"/>
              </w:rPr>
              <w:t>基本支出</w:t>
            </w:r>
          </w:p>
        </w:tc>
        <w:tc>
          <w:tcPr>
            <w:tcW w:w="1447" w:type="dxa"/>
            <w:tcBorders>
              <w:top w:val="single" w:color="000000" w:sz="4" w:space="0"/>
              <w:left w:val="single" w:color="000000" w:sz="4" w:space="0"/>
              <w:bottom w:val="single" w:color="000000" w:sz="4" w:space="0"/>
              <w:right w:val="nil"/>
            </w:tcBorders>
            <w:tcMar>
              <w:top w:w="15" w:type="dxa"/>
              <w:left w:w="15" w:type="dxa"/>
              <w:right w:w="15" w:type="dxa"/>
            </w:tcMar>
            <w:vAlign w:val="bottom"/>
          </w:tcPr>
          <w:p>
            <w:pPr>
              <w:widowControl/>
              <w:jc w:val="center"/>
              <w:textAlignment w:val="bottom"/>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338.59</w:t>
            </w:r>
          </w:p>
        </w:tc>
        <w:tc>
          <w:tcPr>
            <w:tcW w:w="1118" w:type="dxa"/>
            <w:tcBorders>
              <w:top w:val="single" w:color="000000" w:sz="4" w:space="0"/>
              <w:left w:val="single" w:color="000000" w:sz="4" w:space="0"/>
              <w:bottom w:val="single" w:color="000000" w:sz="4" w:space="0"/>
              <w:right w:val="nil"/>
            </w:tcBorders>
            <w:tcMar>
              <w:top w:w="15" w:type="dxa"/>
              <w:left w:w="15" w:type="dxa"/>
              <w:right w:w="15" w:type="dxa"/>
            </w:tcMar>
            <w:vAlign w:val="bottom"/>
          </w:tcPr>
          <w:p>
            <w:pPr>
              <w:widowControl/>
              <w:jc w:val="center"/>
              <w:textAlignment w:val="bottom"/>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316.96</w:t>
            </w:r>
          </w:p>
        </w:tc>
        <w:tc>
          <w:tcPr>
            <w:tcW w:w="1290" w:type="dxa"/>
            <w:tcBorders>
              <w:top w:val="single" w:color="000000" w:sz="4" w:space="0"/>
              <w:left w:val="single" w:color="000000" w:sz="4" w:space="0"/>
              <w:bottom w:val="single" w:color="000000" w:sz="4" w:space="0"/>
              <w:right w:val="nil"/>
            </w:tcBorders>
            <w:tcMar>
              <w:top w:w="15" w:type="dxa"/>
              <w:left w:w="15" w:type="dxa"/>
              <w:right w:w="15" w:type="dxa"/>
            </w:tcMar>
            <w:vAlign w:val="bottom"/>
          </w:tcPr>
          <w:p>
            <w:pPr>
              <w:widowControl/>
              <w:jc w:val="center"/>
              <w:textAlignment w:val="bottom"/>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264.69</w:t>
            </w:r>
          </w:p>
        </w:tc>
        <w:tc>
          <w:tcPr>
            <w:tcW w:w="15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center"/>
              <w:textAlignment w:val="bottom"/>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-21.82%</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center"/>
              <w:textAlignment w:val="bottom"/>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-16.49%</w:t>
            </w:r>
          </w:p>
        </w:tc>
      </w:tr>
      <w:tr>
        <w:tblPrEx>
          <w:tblCellMar>
            <w:top w:w="0" w:type="dxa"/>
            <w:left w:w="0" w:type="dxa"/>
            <w:bottom w:w="0" w:type="dxa"/>
            <w:right w:w="0" w:type="dxa"/>
          </w:tblCellMar>
        </w:tblPrEx>
        <w:trPr>
          <w:trHeight w:val="285" w:hRule="atLeast"/>
        </w:trPr>
        <w:tc>
          <w:tcPr>
            <w:tcW w:w="21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left"/>
              <w:textAlignment w:val="bottom"/>
              <w:rPr>
                <w:rFonts w:ascii="仿宋" w:hAnsi="仿宋" w:eastAsia="仿宋" w:cs="仿宋"/>
                <w:b/>
                <w:color w:val="000000"/>
                <w:sz w:val="24"/>
                <w:szCs w:val="24"/>
              </w:rPr>
            </w:pPr>
            <w:r>
              <w:rPr>
                <w:rFonts w:hint="eastAsia" w:ascii="仿宋" w:hAnsi="仿宋" w:eastAsia="仿宋" w:cs="仿宋"/>
                <w:bCs/>
                <w:color w:val="000000"/>
                <w:kern w:val="0"/>
                <w:sz w:val="24"/>
                <w:szCs w:val="24"/>
                <w:lang w:bidi="ar"/>
              </w:rPr>
              <w:t>其中：三公经费</w:t>
            </w:r>
          </w:p>
        </w:tc>
        <w:tc>
          <w:tcPr>
            <w:tcW w:w="1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center"/>
              <w:textAlignment w:val="bottom"/>
              <w:rPr>
                <w:rFonts w:ascii="仿宋" w:hAnsi="仿宋" w:eastAsia="仿宋" w:cs="仿宋"/>
                <w:color w:val="000000"/>
                <w:sz w:val="24"/>
                <w:szCs w:val="24"/>
              </w:rPr>
            </w:pPr>
            <w:r>
              <w:rPr>
                <w:rFonts w:hint="eastAsia" w:ascii="仿宋" w:hAnsi="仿宋" w:eastAsia="仿宋" w:cs="仿宋"/>
                <w:color w:val="000000"/>
                <w:kern w:val="0"/>
                <w:sz w:val="24"/>
                <w:szCs w:val="24"/>
                <w:lang w:bidi="ar"/>
              </w:rPr>
              <w:t>0</w:t>
            </w:r>
          </w:p>
        </w:tc>
        <w:tc>
          <w:tcPr>
            <w:tcW w:w="11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center"/>
              <w:textAlignment w:val="bottom"/>
              <w:rPr>
                <w:rFonts w:hint="eastAsia" w:ascii="仿宋" w:hAnsi="仿宋" w:eastAsia="仿宋" w:cs="仿宋"/>
                <w:color w:val="000000"/>
                <w:sz w:val="24"/>
                <w:szCs w:val="24"/>
                <w:lang w:eastAsia="zh-CN"/>
              </w:rPr>
            </w:pPr>
            <w:r>
              <w:rPr>
                <w:rFonts w:hint="eastAsia" w:ascii="仿宋" w:hAnsi="仿宋" w:eastAsia="仿宋" w:cs="仿宋"/>
                <w:color w:val="000000"/>
                <w:kern w:val="0"/>
                <w:sz w:val="24"/>
                <w:szCs w:val="24"/>
                <w:lang w:val="en-US" w:eastAsia="zh-CN" w:bidi="ar"/>
              </w:rPr>
              <w:t>0</w:t>
            </w: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center"/>
              <w:textAlignment w:val="bottom"/>
              <w:rPr>
                <w:rFonts w:ascii="仿宋" w:hAnsi="仿宋" w:eastAsia="仿宋" w:cs="仿宋"/>
                <w:color w:val="000000"/>
                <w:sz w:val="24"/>
                <w:szCs w:val="24"/>
              </w:rPr>
            </w:pPr>
            <w:r>
              <w:rPr>
                <w:rFonts w:hint="eastAsia" w:ascii="仿宋" w:hAnsi="仿宋" w:eastAsia="仿宋" w:cs="仿宋"/>
                <w:color w:val="000000"/>
                <w:kern w:val="0"/>
                <w:sz w:val="24"/>
                <w:szCs w:val="24"/>
                <w:lang w:bidi="ar"/>
              </w:rPr>
              <w:t>0</w:t>
            </w:r>
          </w:p>
        </w:tc>
        <w:tc>
          <w:tcPr>
            <w:tcW w:w="15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center"/>
              <w:rPr>
                <w:rFonts w:ascii="仿宋" w:hAnsi="仿宋" w:eastAsia="仿宋" w:cs="仿宋"/>
                <w:color w:val="000000"/>
                <w:sz w:val="24"/>
                <w:szCs w:val="24"/>
              </w:rPr>
            </w:pPr>
            <w:r>
              <w:rPr>
                <w:rFonts w:hint="eastAsia" w:ascii="仿宋" w:hAnsi="仿宋" w:eastAsia="仿宋" w:cs="仿宋"/>
                <w:color w:val="000000"/>
                <w:sz w:val="24"/>
                <w:szCs w:val="24"/>
              </w:rPr>
              <w:t>0</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center"/>
              <w:textAlignment w:val="bottom"/>
              <w:rPr>
                <w:rFonts w:hint="eastAsia" w:ascii="仿宋" w:hAnsi="仿宋" w:eastAsia="仿宋" w:cs="仿宋"/>
                <w:color w:val="000000"/>
                <w:sz w:val="24"/>
                <w:szCs w:val="24"/>
                <w:lang w:eastAsia="zh-CN"/>
              </w:rPr>
            </w:pPr>
            <w:r>
              <w:rPr>
                <w:rFonts w:hint="eastAsia" w:ascii="仿宋" w:hAnsi="仿宋" w:eastAsia="仿宋" w:cs="仿宋"/>
                <w:color w:val="000000"/>
                <w:kern w:val="0"/>
                <w:sz w:val="24"/>
                <w:szCs w:val="24"/>
                <w:lang w:val="en-US" w:eastAsia="zh-CN" w:bidi="ar"/>
              </w:rPr>
              <w:t>0</w:t>
            </w:r>
          </w:p>
        </w:tc>
      </w:tr>
      <w:tr>
        <w:tblPrEx>
          <w:tblCellMar>
            <w:top w:w="0" w:type="dxa"/>
            <w:left w:w="0" w:type="dxa"/>
            <w:bottom w:w="0" w:type="dxa"/>
            <w:right w:w="0" w:type="dxa"/>
          </w:tblCellMar>
        </w:tblPrEx>
        <w:trPr>
          <w:trHeight w:val="285" w:hRule="atLeast"/>
        </w:trPr>
        <w:tc>
          <w:tcPr>
            <w:tcW w:w="21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left"/>
              <w:textAlignment w:val="bottom"/>
              <w:rPr>
                <w:rFonts w:ascii="仿宋" w:hAnsi="仿宋" w:eastAsia="仿宋" w:cs="仿宋"/>
                <w:color w:val="000000"/>
                <w:sz w:val="24"/>
                <w:szCs w:val="24"/>
              </w:rPr>
            </w:pPr>
            <w:r>
              <w:rPr>
                <w:rFonts w:hint="eastAsia" w:ascii="仿宋" w:hAnsi="仿宋" w:eastAsia="仿宋" w:cs="仿宋"/>
                <w:color w:val="000000"/>
                <w:kern w:val="0"/>
                <w:sz w:val="24"/>
                <w:szCs w:val="24"/>
                <w:lang w:bidi="ar"/>
              </w:rPr>
              <w:t xml:space="preserve">   1、公车运行维护</w:t>
            </w:r>
          </w:p>
        </w:tc>
        <w:tc>
          <w:tcPr>
            <w:tcW w:w="1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center"/>
              <w:textAlignment w:val="bottom"/>
              <w:rPr>
                <w:rFonts w:ascii="仿宋" w:hAnsi="仿宋" w:eastAsia="仿宋" w:cs="仿宋"/>
                <w:color w:val="000000"/>
                <w:sz w:val="24"/>
                <w:szCs w:val="24"/>
              </w:rPr>
            </w:pPr>
            <w:r>
              <w:rPr>
                <w:rFonts w:hint="eastAsia" w:ascii="仿宋" w:hAnsi="仿宋" w:eastAsia="仿宋" w:cs="仿宋"/>
                <w:color w:val="000000"/>
                <w:kern w:val="0"/>
                <w:sz w:val="24"/>
                <w:szCs w:val="24"/>
                <w:lang w:bidi="ar"/>
              </w:rPr>
              <w:t>0</w:t>
            </w:r>
          </w:p>
        </w:tc>
        <w:tc>
          <w:tcPr>
            <w:tcW w:w="11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center"/>
              <w:rPr>
                <w:rFonts w:ascii="仿宋" w:hAnsi="仿宋" w:eastAsia="仿宋" w:cs="仿宋"/>
                <w:color w:val="000000"/>
                <w:sz w:val="24"/>
                <w:szCs w:val="24"/>
              </w:rPr>
            </w:pPr>
            <w:r>
              <w:rPr>
                <w:rFonts w:hint="eastAsia" w:ascii="仿宋" w:hAnsi="仿宋" w:eastAsia="仿宋" w:cs="仿宋"/>
                <w:color w:val="000000"/>
                <w:sz w:val="24"/>
                <w:szCs w:val="24"/>
              </w:rPr>
              <w:t>0</w:t>
            </w: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center"/>
              <w:textAlignment w:val="bottom"/>
              <w:rPr>
                <w:rFonts w:ascii="仿宋" w:hAnsi="仿宋" w:eastAsia="仿宋" w:cs="仿宋"/>
                <w:color w:val="000000"/>
                <w:sz w:val="24"/>
                <w:szCs w:val="24"/>
              </w:rPr>
            </w:pPr>
            <w:r>
              <w:rPr>
                <w:rFonts w:hint="eastAsia" w:ascii="仿宋" w:hAnsi="仿宋" w:eastAsia="仿宋" w:cs="仿宋"/>
                <w:color w:val="000000"/>
                <w:kern w:val="0"/>
                <w:sz w:val="24"/>
                <w:szCs w:val="24"/>
                <w:lang w:bidi="ar"/>
              </w:rPr>
              <w:t>0</w:t>
            </w:r>
          </w:p>
        </w:tc>
        <w:tc>
          <w:tcPr>
            <w:tcW w:w="15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center"/>
              <w:rPr>
                <w:rFonts w:ascii="仿宋" w:hAnsi="仿宋" w:eastAsia="仿宋" w:cs="仿宋"/>
                <w:color w:val="000000"/>
                <w:sz w:val="24"/>
                <w:szCs w:val="24"/>
              </w:rPr>
            </w:pPr>
            <w:r>
              <w:rPr>
                <w:rFonts w:hint="eastAsia" w:ascii="仿宋" w:hAnsi="仿宋" w:eastAsia="仿宋" w:cs="仿宋"/>
                <w:color w:val="000000"/>
                <w:sz w:val="24"/>
                <w:szCs w:val="24"/>
              </w:rPr>
              <w:t>0</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center"/>
              <w:rPr>
                <w:rFonts w:ascii="仿宋" w:hAnsi="仿宋" w:eastAsia="仿宋" w:cs="仿宋"/>
                <w:color w:val="000000"/>
                <w:sz w:val="24"/>
                <w:szCs w:val="24"/>
              </w:rPr>
            </w:pPr>
            <w:r>
              <w:rPr>
                <w:rFonts w:hint="eastAsia" w:ascii="仿宋" w:hAnsi="仿宋" w:eastAsia="仿宋" w:cs="仿宋"/>
                <w:color w:val="000000"/>
                <w:sz w:val="24"/>
                <w:szCs w:val="24"/>
              </w:rPr>
              <w:t>0</w:t>
            </w:r>
          </w:p>
        </w:tc>
      </w:tr>
      <w:tr>
        <w:tblPrEx>
          <w:tblCellMar>
            <w:top w:w="0" w:type="dxa"/>
            <w:left w:w="0" w:type="dxa"/>
            <w:bottom w:w="0" w:type="dxa"/>
            <w:right w:w="0" w:type="dxa"/>
          </w:tblCellMar>
        </w:tblPrEx>
        <w:trPr>
          <w:trHeight w:val="285" w:hRule="atLeast"/>
        </w:trPr>
        <w:tc>
          <w:tcPr>
            <w:tcW w:w="21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left"/>
              <w:textAlignment w:val="bottom"/>
              <w:rPr>
                <w:rFonts w:ascii="仿宋" w:hAnsi="仿宋" w:eastAsia="仿宋" w:cs="仿宋"/>
                <w:color w:val="000000"/>
                <w:sz w:val="24"/>
                <w:szCs w:val="24"/>
              </w:rPr>
            </w:pPr>
            <w:r>
              <w:rPr>
                <w:rStyle w:val="8"/>
                <w:rFonts w:ascii="仿宋" w:hAnsi="仿宋" w:eastAsia="仿宋" w:cs="仿宋"/>
                <w:sz w:val="24"/>
                <w:szCs w:val="24"/>
                <w:lang w:bidi="ar"/>
              </w:rPr>
              <w:t xml:space="preserve">   2、出国经费</w:t>
            </w:r>
          </w:p>
        </w:tc>
        <w:tc>
          <w:tcPr>
            <w:tcW w:w="1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center"/>
              <w:textAlignment w:val="bottom"/>
              <w:rPr>
                <w:rFonts w:ascii="仿宋" w:hAnsi="仿宋" w:eastAsia="仿宋" w:cs="仿宋"/>
                <w:color w:val="000000"/>
                <w:sz w:val="24"/>
                <w:szCs w:val="24"/>
              </w:rPr>
            </w:pPr>
            <w:r>
              <w:rPr>
                <w:rFonts w:hint="eastAsia" w:ascii="仿宋" w:hAnsi="仿宋" w:eastAsia="仿宋" w:cs="仿宋"/>
                <w:color w:val="000000"/>
                <w:kern w:val="0"/>
                <w:sz w:val="24"/>
                <w:szCs w:val="24"/>
                <w:lang w:bidi="ar"/>
              </w:rPr>
              <w:t>0</w:t>
            </w:r>
          </w:p>
        </w:tc>
        <w:tc>
          <w:tcPr>
            <w:tcW w:w="11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center"/>
              <w:rPr>
                <w:rFonts w:ascii="仿宋" w:hAnsi="仿宋" w:eastAsia="仿宋" w:cs="仿宋"/>
                <w:color w:val="000000"/>
                <w:sz w:val="24"/>
                <w:szCs w:val="24"/>
              </w:rPr>
            </w:pPr>
            <w:r>
              <w:rPr>
                <w:rFonts w:hint="eastAsia" w:ascii="仿宋" w:hAnsi="仿宋" w:eastAsia="仿宋" w:cs="仿宋"/>
                <w:color w:val="000000"/>
                <w:sz w:val="24"/>
                <w:szCs w:val="24"/>
              </w:rPr>
              <w:t>0</w:t>
            </w: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center"/>
              <w:textAlignment w:val="bottom"/>
              <w:rPr>
                <w:rFonts w:ascii="仿宋" w:hAnsi="仿宋" w:eastAsia="仿宋" w:cs="仿宋"/>
                <w:color w:val="000000"/>
                <w:sz w:val="24"/>
                <w:szCs w:val="24"/>
              </w:rPr>
            </w:pPr>
            <w:r>
              <w:rPr>
                <w:rFonts w:hint="eastAsia" w:ascii="仿宋" w:hAnsi="仿宋" w:eastAsia="仿宋" w:cs="仿宋"/>
                <w:color w:val="000000"/>
                <w:kern w:val="0"/>
                <w:sz w:val="24"/>
                <w:szCs w:val="24"/>
                <w:lang w:bidi="ar"/>
              </w:rPr>
              <w:t>0</w:t>
            </w:r>
          </w:p>
        </w:tc>
        <w:tc>
          <w:tcPr>
            <w:tcW w:w="15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center"/>
              <w:rPr>
                <w:rFonts w:ascii="仿宋" w:hAnsi="仿宋" w:eastAsia="仿宋" w:cs="仿宋"/>
                <w:color w:val="000000"/>
                <w:sz w:val="24"/>
                <w:szCs w:val="24"/>
              </w:rPr>
            </w:pPr>
            <w:r>
              <w:rPr>
                <w:rFonts w:hint="eastAsia" w:ascii="仿宋" w:hAnsi="仿宋" w:eastAsia="仿宋" w:cs="仿宋"/>
                <w:color w:val="000000"/>
                <w:sz w:val="24"/>
                <w:szCs w:val="24"/>
              </w:rPr>
              <w:t>0</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center"/>
              <w:rPr>
                <w:rFonts w:ascii="仿宋" w:hAnsi="仿宋" w:eastAsia="仿宋" w:cs="仿宋"/>
                <w:color w:val="000000"/>
                <w:sz w:val="24"/>
                <w:szCs w:val="24"/>
              </w:rPr>
            </w:pPr>
            <w:r>
              <w:rPr>
                <w:rFonts w:hint="eastAsia" w:ascii="仿宋" w:hAnsi="仿宋" w:eastAsia="仿宋" w:cs="仿宋"/>
                <w:color w:val="000000"/>
                <w:sz w:val="24"/>
                <w:szCs w:val="24"/>
              </w:rPr>
              <w:t>0</w:t>
            </w:r>
          </w:p>
        </w:tc>
      </w:tr>
      <w:tr>
        <w:tblPrEx>
          <w:tblCellMar>
            <w:top w:w="0" w:type="dxa"/>
            <w:left w:w="0" w:type="dxa"/>
            <w:bottom w:w="0" w:type="dxa"/>
            <w:right w:w="0" w:type="dxa"/>
          </w:tblCellMar>
        </w:tblPrEx>
        <w:trPr>
          <w:trHeight w:val="285" w:hRule="atLeast"/>
        </w:trPr>
        <w:tc>
          <w:tcPr>
            <w:tcW w:w="21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left"/>
              <w:textAlignment w:val="bottom"/>
              <w:rPr>
                <w:rFonts w:ascii="仿宋" w:hAnsi="仿宋" w:eastAsia="仿宋" w:cs="仿宋"/>
                <w:color w:val="000000"/>
                <w:sz w:val="24"/>
                <w:szCs w:val="24"/>
              </w:rPr>
            </w:pPr>
            <w:r>
              <w:rPr>
                <w:rStyle w:val="8"/>
                <w:rFonts w:ascii="仿宋" w:hAnsi="仿宋" w:eastAsia="仿宋" w:cs="仿宋"/>
                <w:sz w:val="24"/>
                <w:szCs w:val="24"/>
                <w:lang w:bidi="ar"/>
              </w:rPr>
              <w:t xml:space="preserve">   3、公务接待</w:t>
            </w:r>
          </w:p>
        </w:tc>
        <w:tc>
          <w:tcPr>
            <w:tcW w:w="1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center"/>
              <w:textAlignment w:val="bottom"/>
              <w:rPr>
                <w:rFonts w:ascii="仿宋" w:hAnsi="仿宋" w:eastAsia="仿宋" w:cs="仿宋"/>
                <w:color w:val="000000"/>
                <w:sz w:val="24"/>
                <w:szCs w:val="24"/>
              </w:rPr>
            </w:pPr>
            <w:r>
              <w:rPr>
                <w:rFonts w:hint="eastAsia" w:ascii="仿宋" w:hAnsi="仿宋" w:eastAsia="仿宋" w:cs="仿宋"/>
                <w:color w:val="000000"/>
                <w:kern w:val="0"/>
                <w:sz w:val="24"/>
                <w:szCs w:val="24"/>
                <w:lang w:bidi="ar"/>
              </w:rPr>
              <w:t>0</w:t>
            </w:r>
          </w:p>
        </w:tc>
        <w:tc>
          <w:tcPr>
            <w:tcW w:w="11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center"/>
              <w:textAlignment w:val="bottom"/>
              <w:rPr>
                <w:rFonts w:ascii="仿宋" w:hAnsi="仿宋" w:eastAsia="仿宋" w:cs="仿宋"/>
                <w:color w:val="000000"/>
                <w:sz w:val="24"/>
                <w:szCs w:val="24"/>
              </w:rPr>
            </w:pPr>
            <w:r>
              <w:rPr>
                <w:rFonts w:hint="eastAsia" w:ascii="仿宋" w:hAnsi="仿宋" w:eastAsia="仿宋" w:cs="仿宋"/>
                <w:color w:val="000000"/>
                <w:kern w:val="0"/>
                <w:sz w:val="24"/>
                <w:szCs w:val="24"/>
                <w:lang w:bidi="ar"/>
              </w:rPr>
              <w:t>0</w:t>
            </w: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center"/>
              <w:textAlignment w:val="bottom"/>
              <w:rPr>
                <w:rFonts w:ascii="仿宋" w:hAnsi="仿宋" w:eastAsia="仿宋" w:cs="仿宋"/>
                <w:color w:val="000000"/>
                <w:sz w:val="24"/>
                <w:szCs w:val="24"/>
              </w:rPr>
            </w:pPr>
            <w:r>
              <w:rPr>
                <w:rFonts w:hint="eastAsia" w:ascii="仿宋" w:hAnsi="仿宋" w:eastAsia="仿宋" w:cs="仿宋"/>
                <w:color w:val="000000"/>
                <w:kern w:val="0"/>
                <w:sz w:val="24"/>
                <w:szCs w:val="24"/>
                <w:lang w:bidi="ar"/>
              </w:rPr>
              <w:t>0</w:t>
            </w:r>
          </w:p>
        </w:tc>
        <w:tc>
          <w:tcPr>
            <w:tcW w:w="15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center"/>
              <w:rPr>
                <w:rFonts w:ascii="仿宋" w:hAnsi="仿宋" w:eastAsia="仿宋" w:cs="仿宋"/>
                <w:color w:val="000000"/>
                <w:sz w:val="24"/>
                <w:szCs w:val="24"/>
              </w:rPr>
            </w:pPr>
            <w:r>
              <w:rPr>
                <w:rFonts w:hint="eastAsia" w:ascii="仿宋" w:hAnsi="仿宋" w:eastAsia="仿宋" w:cs="仿宋"/>
                <w:color w:val="000000"/>
                <w:sz w:val="24"/>
                <w:szCs w:val="24"/>
              </w:rPr>
              <w:t>0</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center"/>
              <w:textAlignment w:val="bottom"/>
              <w:rPr>
                <w:rFonts w:ascii="仿宋" w:hAnsi="仿宋" w:eastAsia="仿宋" w:cs="仿宋"/>
                <w:color w:val="000000"/>
                <w:sz w:val="24"/>
                <w:szCs w:val="24"/>
              </w:rPr>
            </w:pPr>
            <w:r>
              <w:rPr>
                <w:rFonts w:hint="eastAsia" w:ascii="仿宋" w:hAnsi="仿宋" w:eastAsia="仿宋" w:cs="仿宋"/>
                <w:color w:val="000000"/>
                <w:kern w:val="0"/>
                <w:sz w:val="24"/>
                <w:szCs w:val="24"/>
                <w:lang w:bidi="ar"/>
              </w:rPr>
              <w:t>0</w:t>
            </w:r>
          </w:p>
        </w:tc>
      </w:tr>
      <w:tr>
        <w:tblPrEx>
          <w:tblCellMar>
            <w:top w:w="0" w:type="dxa"/>
            <w:left w:w="0" w:type="dxa"/>
            <w:bottom w:w="0" w:type="dxa"/>
            <w:right w:w="0" w:type="dxa"/>
          </w:tblCellMar>
        </w:tblPrEx>
        <w:trPr>
          <w:trHeight w:val="285" w:hRule="atLeast"/>
        </w:trPr>
        <w:tc>
          <w:tcPr>
            <w:tcW w:w="21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left"/>
              <w:textAlignment w:val="bottom"/>
              <w:rPr>
                <w:rFonts w:ascii="仿宋" w:hAnsi="仿宋" w:eastAsia="仿宋" w:cs="仿宋"/>
                <w:b/>
                <w:color w:val="000000"/>
                <w:sz w:val="24"/>
                <w:szCs w:val="24"/>
              </w:rPr>
            </w:pPr>
            <w:r>
              <w:rPr>
                <w:rFonts w:hint="eastAsia" w:ascii="仿宋" w:hAnsi="仿宋" w:eastAsia="仿宋" w:cs="仿宋"/>
                <w:b/>
                <w:color w:val="000000"/>
                <w:kern w:val="0"/>
                <w:sz w:val="24"/>
                <w:szCs w:val="24"/>
                <w:lang w:bidi="ar"/>
              </w:rPr>
              <w:t xml:space="preserve">     </w:t>
            </w:r>
            <w:r>
              <w:rPr>
                <w:rFonts w:hint="eastAsia" w:ascii="仿宋" w:hAnsi="仿宋" w:eastAsia="仿宋" w:cs="仿宋"/>
                <w:bCs/>
                <w:color w:val="000000"/>
                <w:kern w:val="0"/>
                <w:sz w:val="24"/>
                <w:szCs w:val="24"/>
                <w:lang w:bidi="ar"/>
              </w:rPr>
              <w:t>公用经费</w:t>
            </w:r>
          </w:p>
        </w:tc>
        <w:tc>
          <w:tcPr>
            <w:tcW w:w="1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center"/>
              <w:textAlignment w:val="bottom"/>
              <w:rPr>
                <w:rFonts w:ascii="仿宋" w:hAnsi="仿宋" w:eastAsia="仿宋" w:cs="仿宋"/>
                <w:color w:val="000000"/>
                <w:sz w:val="24"/>
                <w:szCs w:val="24"/>
              </w:rPr>
            </w:pPr>
            <w:r>
              <w:rPr>
                <w:rFonts w:hint="eastAsia" w:ascii="仿宋" w:hAnsi="仿宋" w:eastAsia="仿宋" w:cs="仿宋"/>
                <w:color w:val="000000"/>
                <w:kern w:val="0"/>
                <w:sz w:val="24"/>
                <w:szCs w:val="24"/>
                <w:lang w:bidi="ar"/>
              </w:rPr>
              <w:t>60.11</w:t>
            </w:r>
          </w:p>
        </w:tc>
        <w:tc>
          <w:tcPr>
            <w:tcW w:w="11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center"/>
              <w:textAlignment w:val="bottom"/>
              <w:rPr>
                <w:rFonts w:ascii="仿宋" w:hAnsi="仿宋" w:eastAsia="仿宋" w:cs="仿宋"/>
                <w:color w:val="000000"/>
                <w:sz w:val="24"/>
                <w:szCs w:val="24"/>
              </w:rPr>
            </w:pPr>
            <w:r>
              <w:rPr>
                <w:rFonts w:hint="eastAsia" w:ascii="仿宋" w:hAnsi="仿宋" w:eastAsia="仿宋" w:cs="仿宋"/>
                <w:color w:val="000000"/>
                <w:kern w:val="0"/>
                <w:sz w:val="24"/>
                <w:szCs w:val="24"/>
                <w:lang w:bidi="ar"/>
              </w:rPr>
              <w:t>37.38</w:t>
            </w: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center"/>
              <w:textAlignment w:val="bottom"/>
              <w:rPr>
                <w:rFonts w:ascii="仿宋" w:hAnsi="仿宋" w:eastAsia="仿宋" w:cs="仿宋"/>
                <w:color w:val="000000"/>
                <w:sz w:val="24"/>
                <w:szCs w:val="24"/>
              </w:rPr>
            </w:pPr>
            <w:r>
              <w:rPr>
                <w:rFonts w:hint="eastAsia" w:ascii="仿宋" w:hAnsi="仿宋" w:eastAsia="仿宋" w:cs="仿宋"/>
                <w:color w:val="000000"/>
                <w:kern w:val="0"/>
                <w:sz w:val="24"/>
                <w:szCs w:val="24"/>
                <w:lang w:bidi="ar"/>
              </w:rPr>
              <w:t>49.69</w:t>
            </w:r>
          </w:p>
        </w:tc>
        <w:tc>
          <w:tcPr>
            <w:tcW w:w="15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center"/>
              <w:textAlignment w:val="bottom"/>
              <w:rPr>
                <w:rFonts w:ascii="仿宋" w:hAnsi="仿宋" w:eastAsia="仿宋" w:cs="仿宋"/>
                <w:color w:val="000000"/>
                <w:sz w:val="24"/>
                <w:szCs w:val="24"/>
              </w:rPr>
            </w:pPr>
            <w:r>
              <w:rPr>
                <w:rFonts w:hint="eastAsia" w:ascii="仿宋" w:hAnsi="仿宋" w:eastAsia="仿宋" w:cs="仿宋"/>
                <w:color w:val="000000"/>
                <w:kern w:val="0"/>
                <w:sz w:val="24"/>
                <w:szCs w:val="24"/>
                <w:lang w:bidi="ar"/>
              </w:rPr>
              <w:t>-17.33%</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center"/>
              <w:textAlignment w:val="bottom"/>
              <w:rPr>
                <w:rFonts w:ascii="仿宋" w:hAnsi="仿宋" w:eastAsia="仿宋" w:cs="仿宋"/>
                <w:color w:val="000000"/>
                <w:sz w:val="24"/>
                <w:szCs w:val="24"/>
              </w:rPr>
            </w:pPr>
            <w:r>
              <w:rPr>
                <w:rFonts w:hint="eastAsia" w:ascii="仿宋" w:hAnsi="仿宋" w:eastAsia="仿宋" w:cs="仿宋"/>
                <w:color w:val="000000"/>
                <w:kern w:val="0"/>
                <w:sz w:val="24"/>
                <w:szCs w:val="24"/>
                <w:lang w:bidi="ar"/>
              </w:rPr>
              <w:t>32.93%</w:t>
            </w:r>
          </w:p>
        </w:tc>
      </w:tr>
      <w:tr>
        <w:tblPrEx>
          <w:tblCellMar>
            <w:top w:w="0" w:type="dxa"/>
            <w:left w:w="0" w:type="dxa"/>
            <w:bottom w:w="0" w:type="dxa"/>
            <w:right w:w="0" w:type="dxa"/>
          </w:tblCellMar>
        </w:tblPrEx>
        <w:trPr>
          <w:trHeight w:val="285" w:hRule="atLeast"/>
        </w:trPr>
        <w:tc>
          <w:tcPr>
            <w:tcW w:w="21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left"/>
              <w:textAlignment w:val="bottom"/>
              <w:rPr>
                <w:rFonts w:ascii="仿宋" w:hAnsi="仿宋" w:eastAsia="仿宋" w:cs="仿宋"/>
                <w:b/>
                <w:color w:val="000000"/>
                <w:sz w:val="24"/>
                <w:szCs w:val="24"/>
              </w:rPr>
            </w:pPr>
            <w:r>
              <w:rPr>
                <w:rFonts w:hint="eastAsia" w:ascii="仿宋" w:hAnsi="仿宋" w:eastAsia="仿宋" w:cs="仿宋"/>
                <w:b/>
                <w:color w:val="000000"/>
                <w:kern w:val="0"/>
                <w:sz w:val="24"/>
                <w:szCs w:val="24"/>
                <w:lang w:bidi="ar"/>
              </w:rPr>
              <w:t>项目支出：</w:t>
            </w:r>
          </w:p>
        </w:tc>
        <w:tc>
          <w:tcPr>
            <w:tcW w:w="1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center"/>
              <w:textAlignment w:val="bottom"/>
              <w:rPr>
                <w:rFonts w:ascii="仿宋" w:hAnsi="仿宋" w:eastAsia="仿宋" w:cs="仿宋"/>
                <w:b/>
                <w:color w:val="000000"/>
                <w:sz w:val="24"/>
                <w:szCs w:val="24"/>
              </w:rPr>
            </w:pPr>
            <w:r>
              <w:rPr>
                <w:rFonts w:hint="eastAsia" w:ascii="仿宋" w:hAnsi="仿宋" w:eastAsia="仿宋" w:cs="仿宋"/>
                <w:b/>
                <w:color w:val="000000"/>
                <w:sz w:val="24"/>
                <w:szCs w:val="24"/>
              </w:rPr>
              <w:t>857.13</w:t>
            </w:r>
          </w:p>
        </w:tc>
        <w:tc>
          <w:tcPr>
            <w:tcW w:w="11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center"/>
              <w:textAlignment w:val="bottom"/>
              <w:rPr>
                <w:rFonts w:ascii="仿宋" w:hAnsi="仿宋" w:eastAsia="仿宋" w:cs="仿宋"/>
                <w:b/>
                <w:color w:val="000000"/>
                <w:sz w:val="24"/>
                <w:szCs w:val="24"/>
              </w:rPr>
            </w:pPr>
            <w:r>
              <w:rPr>
                <w:rFonts w:hint="eastAsia" w:ascii="仿宋" w:hAnsi="仿宋" w:eastAsia="仿宋" w:cs="仿宋"/>
                <w:b/>
                <w:color w:val="000000"/>
                <w:sz w:val="24"/>
                <w:szCs w:val="24"/>
              </w:rPr>
              <w:t>0</w:t>
            </w: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center"/>
              <w:textAlignment w:val="bottom"/>
              <w:rPr>
                <w:rFonts w:ascii="仿宋" w:hAnsi="仿宋" w:eastAsia="仿宋" w:cs="仿宋"/>
                <w:b/>
                <w:color w:val="000000"/>
                <w:sz w:val="24"/>
                <w:szCs w:val="24"/>
              </w:rPr>
            </w:pPr>
            <w:r>
              <w:rPr>
                <w:rFonts w:hint="eastAsia" w:ascii="仿宋" w:hAnsi="仿宋" w:eastAsia="仿宋" w:cs="仿宋"/>
                <w:b/>
                <w:color w:val="000000"/>
                <w:sz w:val="24"/>
                <w:szCs w:val="24"/>
              </w:rPr>
              <w:t>535.99</w:t>
            </w:r>
          </w:p>
        </w:tc>
        <w:tc>
          <w:tcPr>
            <w:tcW w:w="15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center"/>
              <w:textAlignment w:val="bottom"/>
              <w:rPr>
                <w:rFonts w:ascii="仿宋" w:hAnsi="仿宋" w:eastAsia="仿宋" w:cs="仿宋"/>
                <w:b/>
                <w:color w:val="000000"/>
                <w:sz w:val="24"/>
                <w:szCs w:val="24"/>
              </w:rPr>
            </w:pPr>
            <w:r>
              <w:rPr>
                <w:rFonts w:hint="eastAsia" w:ascii="仿宋" w:hAnsi="仿宋" w:eastAsia="仿宋" w:cs="仿宋"/>
                <w:b/>
                <w:color w:val="000000"/>
                <w:sz w:val="24"/>
                <w:szCs w:val="24"/>
              </w:rPr>
              <w:t>-37.47%</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center"/>
              <w:textAlignment w:val="bottom"/>
              <w:rPr>
                <w:rFonts w:ascii="仿宋" w:hAnsi="仿宋" w:eastAsia="仿宋" w:cs="仿宋"/>
                <w:b/>
                <w:color w:val="000000"/>
                <w:sz w:val="24"/>
                <w:szCs w:val="24"/>
              </w:rPr>
            </w:pPr>
            <w:r>
              <w:rPr>
                <w:rFonts w:hint="eastAsia" w:ascii="仿宋" w:hAnsi="仿宋" w:eastAsia="仿宋" w:cs="仿宋"/>
                <w:b/>
                <w:color w:val="000000"/>
                <w:sz w:val="24"/>
                <w:szCs w:val="24"/>
              </w:rPr>
              <w:t>53599%</w:t>
            </w:r>
          </w:p>
        </w:tc>
      </w:tr>
      <w:tr>
        <w:tblPrEx>
          <w:tblCellMar>
            <w:top w:w="0" w:type="dxa"/>
            <w:left w:w="0" w:type="dxa"/>
            <w:bottom w:w="0" w:type="dxa"/>
            <w:right w:w="0" w:type="dxa"/>
          </w:tblCellMar>
        </w:tblPrEx>
        <w:trPr>
          <w:trHeight w:val="285" w:hRule="atLeast"/>
        </w:trPr>
        <w:tc>
          <w:tcPr>
            <w:tcW w:w="21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left"/>
              <w:textAlignment w:val="bottom"/>
              <w:rPr>
                <w:rFonts w:ascii="仿宋" w:hAnsi="仿宋" w:eastAsia="仿宋" w:cs="仿宋"/>
                <w:b/>
                <w:color w:val="000000"/>
                <w:sz w:val="24"/>
                <w:szCs w:val="24"/>
              </w:rPr>
            </w:pPr>
            <w:r>
              <w:rPr>
                <w:rFonts w:hint="eastAsia" w:ascii="仿宋" w:hAnsi="仿宋" w:eastAsia="仿宋" w:cs="仿宋"/>
                <w:b/>
                <w:color w:val="000000"/>
                <w:kern w:val="0"/>
                <w:sz w:val="24"/>
                <w:szCs w:val="24"/>
                <w:lang w:bidi="ar"/>
              </w:rPr>
              <w:t>合计金额</w:t>
            </w:r>
          </w:p>
        </w:tc>
        <w:tc>
          <w:tcPr>
            <w:tcW w:w="1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center"/>
              <w:textAlignment w:val="bottom"/>
              <w:rPr>
                <w:rFonts w:ascii="仿宋" w:hAnsi="仿宋" w:eastAsia="仿宋" w:cs="仿宋"/>
                <w:b/>
                <w:color w:val="000000"/>
                <w:sz w:val="24"/>
                <w:szCs w:val="24"/>
              </w:rPr>
            </w:pPr>
            <w:r>
              <w:rPr>
                <w:rFonts w:hint="eastAsia" w:ascii="仿宋" w:hAnsi="仿宋" w:eastAsia="仿宋" w:cs="仿宋"/>
                <w:b/>
                <w:color w:val="000000"/>
                <w:sz w:val="24"/>
                <w:szCs w:val="24"/>
              </w:rPr>
              <w:t>1195.72</w:t>
            </w:r>
          </w:p>
        </w:tc>
        <w:tc>
          <w:tcPr>
            <w:tcW w:w="11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center"/>
              <w:textAlignment w:val="bottom"/>
              <w:rPr>
                <w:rFonts w:ascii="仿宋" w:hAnsi="仿宋" w:eastAsia="仿宋" w:cs="仿宋"/>
                <w:b/>
                <w:color w:val="000000"/>
                <w:sz w:val="24"/>
                <w:szCs w:val="24"/>
              </w:rPr>
            </w:pPr>
            <w:r>
              <w:rPr>
                <w:rFonts w:hint="eastAsia" w:ascii="仿宋" w:hAnsi="仿宋" w:eastAsia="仿宋" w:cs="仿宋"/>
                <w:b/>
                <w:color w:val="000000"/>
                <w:sz w:val="24"/>
                <w:szCs w:val="24"/>
              </w:rPr>
              <w:t>316.96</w:t>
            </w: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center"/>
              <w:textAlignment w:val="bottom"/>
              <w:rPr>
                <w:rFonts w:ascii="仿宋" w:hAnsi="仿宋" w:eastAsia="仿宋" w:cs="仿宋"/>
                <w:b/>
                <w:color w:val="000000"/>
                <w:sz w:val="24"/>
                <w:szCs w:val="24"/>
              </w:rPr>
            </w:pPr>
            <w:r>
              <w:rPr>
                <w:rFonts w:hint="eastAsia" w:ascii="仿宋" w:hAnsi="仿宋" w:eastAsia="仿宋" w:cs="仿宋"/>
                <w:b/>
                <w:color w:val="000000"/>
                <w:sz w:val="24"/>
                <w:szCs w:val="24"/>
              </w:rPr>
              <w:t>800.68</w:t>
            </w:r>
          </w:p>
        </w:tc>
        <w:tc>
          <w:tcPr>
            <w:tcW w:w="15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center"/>
              <w:textAlignment w:val="bottom"/>
              <w:rPr>
                <w:rFonts w:ascii="仿宋" w:hAnsi="仿宋" w:eastAsia="仿宋" w:cs="仿宋"/>
                <w:b/>
                <w:color w:val="000000"/>
                <w:sz w:val="24"/>
                <w:szCs w:val="24"/>
              </w:rPr>
            </w:pPr>
            <w:r>
              <w:rPr>
                <w:rFonts w:hint="eastAsia" w:ascii="仿宋" w:hAnsi="仿宋" w:eastAsia="仿宋" w:cs="仿宋"/>
                <w:b/>
                <w:color w:val="000000"/>
                <w:sz w:val="24"/>
                <w:szCs w:val="24"/>
              </w:rPr>
              <w:t>-33.04%</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center"/>
              <w:textAlignment w:val="bottom"/>
              <w:rPr>
                <w:rFonts w:ascii="仿宋" w:hAnsi="仿宋" w:eastAsia="仿宋" w:cs="仿宋"/>
                <w:b/>
                <w:color w:val="000000"/>
                <w:sz w:val="24"/>
                <w:szCs w:val="24"/>
              </w:rPr>
            </w:pPr>
            <w:r>
              <w:rPr>
                <w:rFonts w:hint="eastAsia" w:ascii="仿宋" w:hAnsi="仿宋" w:eastAsia="仿宋" w:cs="仿宋"/>
                <w:b/>
                <w:color w:val="000000"/>
                <w:sz w:val="24"/>
                <w:szCs w:val="24"/>
              </w:rPr>
              <w:t>152.61%</w:t>
            </w:r>
          </w:p>
        </w:tc>
      </w:tr>
    </w:tbl>
    <w:p>
      <w:pPr>
        <w:spacing w:line="600" w:lineRule="exact"/>
        <w:ind w:firstLine="608" w:firstLineChars="190"/>
        <w:jc w:val="center"/>
        <w:rPr>
          <w:rFonts w:ascii="仿宋" w:hAnsi="仿宋" w:eastAsia="仿宋" w:cs="仿宋"/>
          <w:sz w:val="32"/>
          <w:szCs w:val="32"/>
        </w:rPr>
      </w:pPr>
      <w:r>
        <w:rPr>
          <w:rFonts w:hint="eastAsia" w:ascii="仿宋" w:hAnsi="仿宋" w:eastAsia="仿宋" w:cs="仿宋"/>
          <w:sz w:val="32"/>
          <w:szCs w:val="32"/>
        </w:rPr>
        <w:t>（表一）</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ascii="楷体" w:hAnsi="楷体" w:eastAsia="楷体" w:cs="仿宋"/>
          <w:sz w:val="32"/>
          <w:szCs w:val="32"/>
        </w:rPr>
      </w:pPr>
      <w:r>
        <w:rPr>
          <w:rFonts w:hint="eastAsia" w:ascii="楷体" w:hAnsi="楷体" w:eastAsia="楷体" w:cs="仿宋"/>
          <w:sz w:val="32"/>
          <w:szCs w:val="32"/>
        </w:rPr>
        <w:t>(三)“三公经费”支出使用和管理情况</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根据中央、省、市有关文件精神，我单位严格控制“三公经费”支出，取得</w:t>
      </w:r>
      <w:r>
        <w:rPr>
          <w:rFonts w:hint="eastAsia" w:ascii="仿宋" w:hAnsi="仿宋" w:eastAsia="仿宋" w:cs="仿宋"/>
          <w:sz w:val="32"/>
          <w:szCs w:val="32"/>
          <w:lang w:eastAsia="zh-CN"/>
        </w:rPr>
        <w:t>很</w:t>
      </w:r>
      <w:r>
        <w:rPr>
          <w:rFonts w:hint="eastAsia" w:ascii="仿宋" w:hAnsi="仿宋" w:eastAsia="仿宋" w:cs="仿宋"/>
          <w:sz w:val="32"/>
          <w:szCs w:val="32"/>
        </w:rPr>
        <w:t>好</w:t>
      </w:r>
      <w:r>
        <w:rPr>
          <w:rFonts w:hint="eastAsia" w:ascii="仿宋" w:hAnsi="仿宋" w:eastAsia="仿宋" w:cs="仿宋"/>
          <w:sz w:val="32"/>
          <w:szCs w:val="32"/>
          <w:lang w:eastAsia="zh-CN"/>
        </w:rPr>
        <w:t>的</w:t>
      </w:r>
      <w:r>
        <w:rPr>
          <w:rFonts w:hint="eastAsia" w:ascii="仿宋" w:hAnsi="仿宋" w:eastAsia="仿宋" w:cs="仿宋"/>
          <w:sz w:val="32"/>
          <w:szCs w:val="32"/>
        </w:rPr>
        <w:t>成效。由表一可以看出2023年</w:t>
      </w:r>
      <w:r>
        <w:rPr>
          <w:rFonts w:hint="eastAsia" w:ascii="仿宋" w:hAnsi="仿宋" w:eastAsia="仿宋" w:cs="仿宋"/>
          <w:sz w:val="32"/>
          <w:szCs w:val="32"/>
          <w:lang w:eastAsia="zh-CN"/>
        </w:rPr>
        <w:t>无</w:t>
      </w:r>
      <w:r>
        <w:rPr>
          <w:rFonts w:hint="eastAsia" w:ascii="仿宋" w:hAnsi="仿宋" w:eastAsia="仿宋" w:cs="仿宋"/>
          <w:sz w:val="32"/>
          <w:szCs w:val="32"/>
        </w:rPr>
        <w:t>“三公”经费支出。</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ascii="黑体" w:hAnsi="黑体" w:eastAsia="黑体"/>
          <w:sz w:val="32"/>
          <w:szCs w:val="32"/>
        </w:rPr>
      </w:pPr>
      <w:r>
        <w:rPr>
          <w:rFonts w:hint="eastAsia" w:ascii="黑体" w:hAnsi="黑体" w:eastAsia="黑体"/>
          <w:sz w:val="32"/>
          <w:szCs w:val="32"/>
        </w:rPr>
        <w:t>三、部门绩效目标</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ascii="楷体" w:hAnsi="楷体" w:eastAsia="楷体" w:cs="仿宋"/>
          <w:sz w:val="32"/>
          <w:szCs w:val="32"/>
        </w:rPr>
      </w:pPr>
      <w:r>
        <w:rPr>
          <w:rFonts w:hint="eastAsia" w:ascii="楷体" w:hAnsi="楷体" w:eastAsia="楷体" w:cs="仿宋"/>
          <w:b/>
          <w:bCs/>
          <w:sz w:val="32"/>
          <w:szCs w:val="32"/>
        </w:rPr>
        <w:t>（一）部门绩效总目标</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2023年是加强残疾人社会保障体系和服务体系建设的关键之年。我区残疾人工作的指导思想和总体要求是:认真贯彻党的二十大有关精神，以科学发展观为统领，以加强残疾人“两个体系”建设为重点，着力为残疾人做好实事、好事，团结引领广大残疾人工作者和残疾人听党话，跟党走，坚持眼睛向下，重点下移，资源下沉，全面完成各项工作任务，推动我区残疾人事业又好又快发展。</w:t>
      </w:r>
    </w:p>
    <w:p>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ascii="楷体" w:hAnsi="楷体" w:eastAsia="楷体" w:cs="仿宋"/>
          <w:b/>
          <w:bCs/>
          <w:sz w:val="32"/>
          <w:szCs w:val="32"/>
        </w:rPr>
      </w:pPr>
      <w:r>
        <w:rPr>
          <w:rFonts w:hint="eastAsia" w:ascii="楷体" w:hAnsi="楷体" w:eastAsia="楷体" w:cs="仿宋"/>
          <w:b/>
          <w:bCs/>
          <w:sz w:val="32"/>
          <w:szCs w:val="32"/>
        </w:rPr>
        <w:t>（二）2023年部门绩效目标</w:t>
      </w:r>
    </w:p>
    <w:p>
      <w:pPr>
        <w:keepNext w:val="0"/>
        <w:keepLines w:val="0"/>
        <w:pageBreakBefore w:val="0"/>
        <w:kinsoku/>
        <w:wordWrap/>
        <w:overflowPunct/>
        <w:topLinePunct w:val="0"/>
        <w:autoSpaceDE/>
        <w:autoSpaceDN/>
        <w:bidi w:val="0"/>
        <w:adjustRightInd/>
        <w:snapToGrid/>
        <w:spacing w:line="580" w:lineRule="exact"/>
        <w:ind w:left="0" w:leftChars="0" w:firstLine="640" w:firstLineChars="200"/>
        <w:jc w:val="both"/>
        <w:textAlignment w:val="auto"/>
        <w:rPr>
          <w:rFonts w:ascii="仿宋" w:hAnsi="仿宋" w:eastAsia="仿宋" w:cs="仿宋"/>
          <w:b/>
          <w:bCs/>
          <w:sz w:val="32"/>
          <w:szCs w:val="32"/>
        </w:rPr>
      </w:pPr>
      <w:r>
        <w:rPr>
          <w:rFonts w:hint="eastAsia" w:ascii="仿宋" w:hAnsi="仿宋" w:eastAsia="仿宋" w:cs="仿宋"/>
          <w:b/>
          <w:bCs/>
          <w:sz w:val="32"/>
          <w:szCs w:val="32"/>
        </w:rPr>
        <w:t>1.数量指标</w:t>
      </w:r>
    </w:p>
    <w:p>
      <w:pPr>
        <w:keepNext w:val="0"/>
        <w:keepLines w:val="0"/>
        <w:pageBreakBefore w:val="0"/>
        <w:kinsoku/>
        <w:wordWrap/>
        <w:overflowPunct/>
        <w:topLinePunct w:val="0"/>
        <w:autoSpaceDE/>
        <w:autoSpaceDN/>
        <w:bidi w:val="0"/>
        <w:adjustRightInd/>
        <w:snapToGrid/>
        <w:spacing w:line="580" w:lineRule="exact"/>
        <w:ind w:left="0" w:leftChars="0"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(1)提供免费理疗治疗人次</w:t>
      </w:r>
      <w:r>
        <w:rPr>
          <w:rFonts w:hint="eastAsia" w:ascii="仿宋" w:hAnsi="仿宋" w:eastAsia="仿宋" w:cs="仿宋"/>
          <w:sz w:val="32"/>
          <w:szCs w:val="32"/>
          <w:lang w:val="en-US" w:eastAsia="zh-CN"/>
        </w:rPr>
        <w:t>3500</w:t>
      </w:r>
      <w:r>
        <w:rPr>
          <w:rFonts w:hint="eastAsia" w:ascii="仿宋" w:hAnsi="仿宋" w:eastAsia="仿宋" w:cs="仿宋"/>
          <w:sz w:val="32"/>
          <w:szCs w:val="32"/>
        </w:rPr>
        <w:t>人次；</w:t>
      </w:r>
    </w:p>
    <w:p>
      <w:pPr>
        <w:keepNext w:val="0"/>
        <w:keepLines w:val="0"/>
        <w:pageBreakBefore w:val="0"/>
        <w:kinsoku/>
        <w:wordWrap/>
        <w:overflowPunct/>
        <w:topLinePunct w:val="0"/>
        <w:autoSpaceDE/>
        <w:autoSpaceDN/>
        <w:bidi w:val="0"/>
        <w:adjustRightInd/>
        <w:snapToGrid/>
        <w:spacing w:line="580" w:lineRule="exact"/>
        <w:ind w:left="0" w:leftChars="0"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(2)为残疾儿童（脑瘫、自闭、智力等）提供康复训练人数</w:t>
      </w:r>
      <w:r>
        <w:rPr>
          <w:rFonts w:hint="eastAsia" w:ascii="仿宋" w:hAnsi="仿宋" w:eastAsia="仿宋" w:cs="仿宋"/>
          <w:sz w:val="32"/>
          <w:szCs w:val="32"/>
          <w:lang w:val="en-US" w:eastAsia="zh-CN"/>
        </w:rPr>
        <w:t>120</w:t>
      </w:r>
      <w:r>
        <w:rPr>
          <w:rFonts w:hint="eastAsia" w:ascii="仿宋" w:hAnsi="仿宋" w:eastAsia="仿宋" w:cs="仿宋"/>
          <w:sz w:val="32"/>
          <w:szCs w:val="32"/>
        </w:rPr>
        <w:t>人次；</w:t>
      </w:r>
    </w:p>
    <w:p>
      <w:pPr>
        <w:keepNext w:val="0"/>
        <w:keepLines w:val="0"/>
        <w:pageBreakBefore w:val="0"/>
        <w:kinsoku/>
        <w:wordWrap/>
        <w:overflowPunct/>
        <w:topLinePunct w:val="0"/>
        <w:autoSpaceDE/>
        <w:autoSpaceDN/>
        <w:bidi w:val="0"/>
        <w:adjustRightInd/>
        <w:snapToGrid/>
        <w:spacing w:line="580" w:lineRule="exact"/>
        <w:ind w:left="0" w:leftChars="0"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(3)提供残疾人辅助器具463件；</w:t>
      </w:r>
    </w:p>
    <w:p>
      <w:pPr>
        <w:keepNext w:val="0"/>
        <w:keepLines w:val="0"/>
        <w:pageBreakBefore w:val="0"/>
        <w:kinsoku/>
        <w:wordWrap/>
        <w:overflowPunct/>
        <w:topLinePunct w:val="0"/>
        <w:autoSpaceDE/>
        <w:autoSpaceDN/>
        <w:bidi w:val="0"/>
        <w:adjustRightInd/>
        <w:snapToGrid/>
        <w:spacing w:line="580" w:lineRule="exact"/>
        <w:ind w:left="0" w:leftChars="0"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(4)精神病救助614人次；</w:t>
      </w:r>
    </w:p>
    <w:p>
      <w:pPr>
        <w:keepNext w:val="0"/>
        <w:keepLines w:val="0"/>
        <w:pageBreakBefore w:val="0"/>
        <w:kinsoku/>
        <w:wordWrap/>
        <w:overflowPunct/>
        <w:topLinePunct w:val="0"/>
        <w:autoSpaceDE/>
        <w:autoSpaceDN/>
        <w:bidi w:val="0"/>
        <w:adjustRightInd/>
        <w:snapToGrid/>
        <w:spacing w:line="580" w:lineRule="exact"/>
        <w:ind w:left="0" w:leftChars="0"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(5)为残疾人提供免费托养、居家、日间照料服务人次191人次；</w:t>
      </w:r>
    </w:p>
    <w:p>
      <w:pPr>
        <w:keepNext w:val="0"/>
        <w:keepLines w:val="0"/>
        <w:pageBreakBefore w:val="0"/>
        <w:kinsoku/>
        <w:wordWrap/>
        <w:overflowPunct/>
        <w:topLinePunct w:val="0"/>
        <w:autoSpaceDE/>
        <w:autoSpaceDN/>
        <w:bidi w:val="0"/>
        <w:adjustRightInd/>
        <w:snapToGrid/>
        <w:spacing w:line="580" w:lineRule="exact"/>
        <w:ind w:left="0" w:leftChars="0"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(6)无障碍改造30户；</w:t>
      </w:r>
    </w:p>
    <w:p>
      <w:pPr>
        <w:keepNext w:val="0"/>
        <w:keepLines w:val="0"/>
        <w:pageBreakBefore w:val="0"/>
        <w:kinsoku/>
        <w:wordWrap/>
        <w:overflowPunct/>
        <w:topLinePunct w:val="0"/>
        <w:autoSpaceDE/>
        <w:autoSpaceDN/>
        <w:bidi w:val="0"/>
        <w:adjustRightInd/>
        <w:snapToGrid/>
        <w:spacing w:line="580" w:lineRule="exact"/>
        <w:ind w:left="0" w:leftChars="0"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(7)高中阶段残疾人学生及贫困残疾人家庭学生子女、残疾人大学生及残疾人家庭大学生子女、区级教育资助人次 50人次；</w:t>
      </w:r>
    </w:p>
    <w:p>
      <w:pPr>
        <w:keepNext w:val="0"/>
        <w:keepLines w:val="0"/>
        <w:pageBreakBefore w:val="0"/>
        <w:kinsoku/>
        <w:wordWrap/>
        <w:overflowPunct/>
        <w:topLinePunct w:val="0"/>
        <w:autoSpaceDE/>
        <w:autoSpaceDN/>
        <w:bidi w:val="0"/>
        <w:adjustRightInd/>
        <w:snapToGrid/>
        <w:spacing w:line="580" w:lineRule="exact"/>
        <w:ind w:left="0" w:leftChars="0"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(8)组织残疾人培训60人次；</w:t>
      </w:r>
    </w:p>
    <w:p>
      <w:pPr>
        <w:keepNext w:val="0"/>
        <w:keepLines w:val="0"/>
        <w:pageBreakBefore w:val="0"/>
        <w:kinsoku/>
        <w:wordWrap/>
        <w:overflowPunct/>
        <w:topLinePunct w:val="0"/>
        <w:autoSpaceDE/>
        <w:autoSpaceDN/>
        <w:bidi w:val="0"/>
        <w:adjustRightInd/>
        <w:snapToGrid/>
        <w:spacing w:line="580" w:lineRule="exact"/>
        <w:ind w:left="0" w:leftChars="0"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(9)扶持残疾人创业 18人；</w:t>
      </w:r>
    </w:p>
    <w:p>
      <w:pPr>
        <w:keepNext w:val="0"/>
        <w:keepLines w:val="0"/>
        <w:pageBreakBefore w:val="0"/>
        <w:kinsoku/>
        <w:wordWrap/>
        <w:overflowPunct/>
        <w:topLinePunct w:val="0"/>
        <w:autoSpaceDE/>
        <w:autoSpaceDN/>
        <w:bidi w:val="0"/>
        <w:adjustRightInd/>
        <w:snapToGrid/>
        <w:spacing w:line="580" w:lineRule="exact"/>
        <w:ind w:left="0" w:leftChars="0"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(10)</w:t>
      </w:r>
      <w:r>
        <w:rPr>
          <w:rFonts w:hint="eastAsia" w:ascii="仿宋" w:hAnsi="仿宋" w:eastAsia="仿宋" w:cs="仿宋"/>
          <w:color w:val="000000"/>
          <w:spacing w:val="-4"/>
          <w:kern w:val="0"/>
          <w:sz w:val="32"/>
          <w:szCs w:val="32"/>
          <w:lang w:bidi="ar"/>
        </w:rPr>
        <w:t>辅助残疾人就业</w:t>
      </w:r>
      <w:r>
        <w:rPr>
          <w:rFonts w:hint="eastAsia" w:ascii="仿宋" w:hAnsi="仿宋" w:eastAsia="仿宋" w:cs="仿宋"/>
          <w:sz w:val="32"/>
          <w:szCs w:val="32"/>
        </w:rPr>
        <w:t>13人；</w:t>
      </w:r>
    </w:p>
    <w:p>
      <w:pPr>
        <w:keepNext w:val="0"/>
        <w:keepLines w:val="0"/>
        <w:pageBreakBefore w:val="0"/>
        <w:kinsoku/>
        <w:wordWrap/>
        <w:overflowPunct/>
        <w:topLinePunct w:val="0"/>
        <w:autoSpaceDE/>
        <w:autoSpaceDN/>
        <w:bidi w:val="0"/>
        <w:adjustRightInd/>
        <w:snapToGrid/>
        <w:spacing w:line="580" w:lineRule="exact"/>
        <w:ind w:left="0" w:leftChars="0"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(11)</w:t>
      </w:r>
      <w:r>
        <w:rPr>
          <w:rFonts w:hint="eastAsia" w:ascii="仿宋" w:hAnsi="仿宋" w:eastAsia="仿宋" w:cs="仿宋"/>
          <w:color w:val="000000"/>
          <w:spacing w:val="-4"/>
          <w:kern w:val="0"/>
          <w:sz w:val="32"/>
          <w:szCs w:val="32"/>
          <w:lang w:bidi="ar"/>
        </w:rPr>
        <w:t>发放燃油补贴数3人</w:t>
      </w:r>
      <w:r>
        <w:rPr>
          <w:rFonts w:hint="eastAsia" w:ascii="仿宋" w:hAnsi="仿宋" w:eastAsia="仿宋" w:cs="仿宋"/>
          <w:sz w:val="32"/>
          <w:szCs w:val="32"/>
        </w:rPr>
        <w:t>；</w:t>
      </w:r>
    </w:p>
    <w:p>
      <w:pPr>
        <w:keepNext w:val="0"/>
        <w:keepLines w:val="0"/>
        <w:pageBreakBefore w:val="0"/>
        <w:kinsoku/>
        <w:wordWrap/>
        <w:overflowPunct/>
        <w:topLinePunct w:val="0"/>
        <w:autoSpaceDE/>
        <w:autoSpaceDN/>
        <w:bidi w:val="0"/>
        <w:adjustRightInd/>
        <w:snapToGrid/>
        <w:spacing w:line="580" w:lineRule="exact"/>
        <w:ind w:left="0" w:leftChars="0"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(12)专职残疾人补贴人数 143人；</w:t>
      </w:r>
    </w:p>
    <w:p>
      <w:pPr>
        <w:keepNext w:val="0"/>
        <w:keepLines w:val="0"/>
        <w:pageBreakBefore w:val="0"/>
        <w:kinsoku/>
        <w:wordWrap/>
        <w:overflowPunct/>
        <w:topLinePunct w:val="0"/>
        <w:autoSpaceDE/>
        <w:autoSpaceDN/>
        <w:bidi w:val="0"/>
        <w:adjustRightInd/>
        <w:snapToGrid/>
        <w:spacing w:line="580" w:lineRule="exact"/>
        <w:ind w:left="0" w:leftChars="0"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(13)提供假肢安装人数15人；</w:t>
      </w:r>
    </w:p>
    <w:p>
      <w:pPr>
        <w:keepNext w:val="0"/>
        <w:keepLines w:val="0"/>
        <w:pageBreakBefore w:val="0"/>
        <w:kinsoku/>
        <w:wordWrap/>
        <w:overflowPunct/>
        <w:topLinePunct w:val="0"/>
        <w:autoSpaceDE/>
        <w:autoSpaceDN/>
        <w:bidi w:val="0"/>
        <w:adjustRightInd/>
        <w:snapToGrid/>
        <w:spacing w:line="580" w:lineRule="exact"/>
        <w:ind w:left="0" w:leftChars="0"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(14)白内障手术人次50人。</w:t>
      </w:r>
    </w:p>
    <w:p>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jc w:val="both"/>
        <w:textAlignment w:val="auto"/>
        <w:rPr>
          <w:rFonts w:ascii="Times New Roman" w:hAnsi="Times New Roman" w:eastAsia="仿宋" w:cs="Times New Roman"/>
          <w:b/>
          <w:bCs/>
          <w:color w:val="222222"/>
          <w:kern w:val="0"/>
          <w:sz w:val="32"/>
          <w:szCs w:val="32"/>
        </w:rPr>
      </w:pPr>
      <w:r>
        <w:rPr>
          <w:rFonts w:hint="eastAsia" w:ascii="Times New Roman" w:hAnsi="Times New Roman" w:eastAsia="仿宋" w:cs="Times New Roman"/>
          <w:b/>
          <w:bCs/>
          <w:color w:val="222222"/>
          <w:kern w:val="0"/>
          <w:sz w:val="32"/>
          <w:szCs w:val="32"/>
        </w:rPr>
        <w:t>2.质量指标</w:t>
      </w:r>
    </w:p>
    <w:p>
      <w:pPr>
        <w:pStyle w:val="3"/>
        <w:keepNext w:val="0"/>
        <w:keepLines w:val="0"/>
        <w:pageBreakBefore w:val="0"/>
        <w:kinsoku/>
        <w:wordWrap/>
        <w:overflowPunct/>
        <w:topLinePunct w:val="0"/>
        <w:autoSpaceDE/>
        <w:autoSpaceDN/>
        <w:bidi w:val="0"/>
        <w:adjustRightInd/>
        <w:snapToGrid/>
        <w:spacing w:line="580" w:lineRule="exact"/>
        <w:ind w:left="0" w:leftChars="0"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(1)党建工作考核合格率100%</w:t>
      </w:r>
      <w:r>
        <w:rPr>
          <w:rFonts w:hint="eastAsia" w:ascii="仿宋" w:hAnsi="仿宋" w:eastAsia="仿宋" w:cs="仿宋"/>
          <w:sz w:val="32"/>
          <w:szCs w:val="32"/>
          <w:lang w:val="en-US" w:eastAsia="zh-CN"/>
        </w:rPr>
        <w:t>；</w:t>
      </w:r>
    </w:p>
    <w:p>
      <w:pPr>
        <w:keepNext w:val="0"/>
        <w:keepLines w:val="0"/>
        <w:pageBreakBefore w:val="0"/>
        <w:kinsoku/>
        <w:wordWrap/>
        <w:overflowPunct/>
        <w:topLinePunct w:val="0"/>
        <w:autoSpaceDE/>
        <w:autoSpaceDN/>
        <w:bidi w:val="0"/>
        <w:adjustRightInd/>
        <w:snapToGrid/>
        <w:spacing w:line="580" w:lineRule="exact"/>
        <w:ind w:left="0" w:leftChars="0"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(2)资金发放准确率100%;</w:t>
      </w:r>
    </w:p>
    <w:p>
      <w:pPr>
        <w:pStyle w:val="3"/>
        <w:keepNext w:val="0"/>
        <w:keepLines w:val="0"/>
        <w:pageBreakBefore w:val="0"/>
        <w:kinsoku/>
        <w:wordWrap/>
        <w:overflowPunct/>
        <w:topLinePunct w:val="0"/>
        <w:autoSpaceDE/>
        <w:autoSpaceDN/>
        <w:bidi w:val="0"/>
        <w:adjustRightInd/>
        <w:snapToGrid/>
        <w:spacing w:line="580" w:lineRule="exact"/>
        <w:ind w:left="0" w:leftChars="0"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(3)无障碍家庭改造验收合格率100%；</w:t>
      </w:r>
    </w:p>
    <w:p>
      <w:pPr>
        <w:keepNext w:val="0"/>
        <w:keepLines w:val="0"/>
        <w:pageBreakBefore w:val="0"/>
        <w:kinsoku/>
        <w:wordWrap/>
        <w:overflowPunct/>
        <w:topLinePunct w:val="0"/>
        <w:autoSpaceDE/>
        <w:autoSpaceDN/>
        <w:bidi w:val="0"/>
        <w:adjustRightInd/>
        <w:snapToGrid/>
        <w:spacing w:line="580" w:lineRule="exact"/>
        <w:ind w:left="0" w:leftChars="0"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(4)残疾人辅助器具适配率100%。</w:t>
      </w:r>
    </w:p>
    <w:p>
      <w:pPr>
        <w:pStyle w:val="3"/>
        <w:keepNext w:val="0"/>
        <w:keepLines w:val="0"/>
        <w:pageBreakBefore w:val="0"/>
        <w:kinsoku/>
        <w:wordWrap/>
        <w:overflowPunct/>
        <w:topLinePunct w:val="0"/>
        <w:autoSpaceDE/>
        <w:autoSpaceDN/>
        <w:bidi w:val="0"/>
        <w:adjustRightInd/>
        <w:snapToGrid/>
        <w:spacing w:line="580" w:lineRule="exact"/>
        <w:ind w:left="0" w:leftChars="0" w:firstLine="640" w:firstLineChars="200"/>
        <w:jc w:val="both"/>
        <w:textAlignment w:val="auto"/>
        <w:rPr>
          <w:rFonts w:ascii="仿宋" w:hAnsi="仿宋" w:eastAsia="仿宋" w:cs="仿宋"/>
          <w:b/>
          <w:bCs/>
          <w:sz w:val="32"/>
          <w:szCs w:val="32"/>
        </w:rPr>
      </w:pPr>
      <w:r>
        <w:rPr>
          <w:rFonts w:hint="eastAsia" w:ascii="仿宋" w:hAnsi="仿宋" w:eastAsia="仿宋" w:cs="仿宋"/>
          <w:b/>
          <w:bCs/>
          <w:sz w:val="32"/>
          <w:szCs w:val="32"/>
        </w:rPr>
        <w:t>3.时效指标</w:t>
      </w:r>
    </w:p>
    <w:p>
      <w:pPr>
        <w:pStyle w:val="3"/>
        <w:keepNext w:val="0"/>
        <w:keepLines w:val="0"/>
        <w:pageBreakBefore w:val="0"/>
        <w:kinsoku/>
        <w:wordWrap/>
        <w:overflowPunct/>
        <w:topLinePunct w:val="0"/>
        <w:autoSpaceDE/>
        <w:autoSpaceDN/>
        <w:bidi w:val="0"/>
        <w:adjustRightInd/>
        <w:snapToGrid/>
        <w:spacing w:line="580" w:lineRule="exact"/>
        <w:ind w:left="0" w:leftChars="0"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各项工作及时完成率100%。</w:t>
      </w:r>
    </w:p>
    <w:p>
      <w:pPr>
        <w:pStyle w:val="3"/>
        <w:keepNext w:val="0"/>
        <w:keepLines w:val="0"/>
        <w:pageBreakBefore w:val="0"/>
        <w:kinsoku/>
        <w:wordWrap/>
        <w:overflowPunct/>
        <w:topLinePunct w:val="0"/>
        <w:autoSpaceDE/>
        <w:autoSpaceDN/>
        <w:bidi w:val="0"/>
        <w:adjustRightInd/>
        <w:snapToGrid/>
        <w:spacing w:line="580" w:lineRule="exact"/>
        <w:ind w:left="0" w:leftChars="0" w:firstLine="640" w:firstLineChars="200"/>
        <w:jc w:val="both"/>
        <w:textAlignment w:val="auto"/>
        <w:rPr>
          <w:rFonts w:ascii="仿宋" w:hAnsi="仿宋" w:eastAsia="仿宋" w:cs="仿宋"/>
          <w:b/>
          <w:bCs/>
          <w:sz w:val="32"/>
          <w:szCs w:val="32"/>
        </w:rPr>
      </w:pPr>
      <w:r>
        <w:rPr>
          <w:rFonts w:hint="eastAsia" w:ascii="仿宋" w:hAnsi="仿宋" w:eastAsia="仿宋" w:cs="仿宋"/>
          <w:b/>
          <w:bCs/>
          <w:sz w:val="32"/>
          <w:szCs w:val="32"/>
        </w:rPr>
        <w:t>4</w:t>
      </w:r>
      <w:bookmarkStart w:id="0" w:name="_Hlk178261713"/>
      <w:r>
        <w:rPr>
          <w:rFonts w:hint="eastAsia" w:ascii="仿宋" w:hAnsi="仿宋" w:eastAsia="仿宋" w:cs="仿宋"/>
          <w:b/>
          <w:bCs/>
          <w:sz w:val="32"/>
          <w:szCs w:val="32"/>
        </w:rPr>
        <w:t>.</w:t>
      </w:r>
      <w:bookmarkEnd w:id="0"/>
      <w:r>
        <w:rPr>
          <w:rFonts w:hint="eastAsia" w:ascii="仿宋" w:hAnsi="仿宋" w:eastAsia="仿宋" w:cs="仿宋"/>
          <w:b/>
          <w:bCs/>
          <w:sz w:val="32"/>
          <w:szCs w:val="32"/>
        </w:rPr>
        <w:t>成本指标</w:t>
      </w:r>
    </w:p>
    <w:p>
      <w:pPr>
        <w:pStyle w:val="3"/>
        <w:keepNext w:val="0"/>
        <w:keepLines w:val="0"/>
        <w:pageBreakBefore w:val="0"/>
        <w:kinsoku/>
        <w:wordWrap/>
        <w:overflowPunct/>
        <w:topLinePunct w:val="0"/>
        <w:autoSpaceDE/>
        <w:autoSpaceDN/>
        <w:bidi w:val="0"/>
        <w:adjustRightInd/>
        <w:snapToGrid/>
        <w:spacing w:line="580" w:lineRule="exact"/>
        <w:ind w:left="0" w:leftChars="0"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各项支出合理合规，控制在预算额度内。</w:t>
      </w:r>
    </w:p>
    <w:p>
      <w:pPr>
        <w:keepNext w:val="0"/>
        <w:keepLines w:val="0"/>
        <w:pageBreakBefore w:val="0"/>
        <w:tabs>
          <w:tab w:val="left" w:pos="400"/>
        </w:tabs>
        <w:kinsoku/>
        <w:wordWrap/>
        <w:overflowPunct/>
        <w:topLinePunct w:val="0"/>
        <w:autoSpaceDE/>
        <w:autoSpaceDN/>
        <w:bidi w:val="0"/>
        <w:adjustRightInd/>
        <w:snapToGrid/>
        <w:spacing w:line="580" w:lineRule="exact"/>
        <w:ind w:left="0" w:leftChars="0" w:firstLine="640" w:firstLineChars="200"/>
        <w:jc w:val="both"/>
        <w:textAlignment w:val="auto"/>
        <w:rPr>
          <w:rFonts w:ascii="仿宋" w:hAnsi="仿宋" w:eastAsia="仿宋" w:cs="仿宋"/>
          <w:b/>
          <w:bCs/>
          <w:sz w:val="32"/>
          <w:szCs w:val="32"/>
        </w:rPr>
      </w:pPr>
      <w:r>
        <w:rPr>
          <w:rFonts w:hint="eastAsia" w:ascii="仿宋" w:hAnsi="仿宋" w:eastAsia="仿宋" w:cs="仿宋"/>
          <w:b/>
          <w:bCs/>
          <w:sz w:val="32"/>
          <w:szCs w:val="32"/>
        </w:rPr>
        <w:t>5.社会效益指标</w:t>
      </w:r>
    </w:p>
    <w:p>
      <w:pPr>
        <w:pStyle w:val="3"/>
        <w:keepNext w:val="0"/>
        <w:keepLines w:val="0"/>
        <w:pageBreakBefore w:val="0"/>
        <w:kinsoku/>
        <w:wordWrap/>
        <w:overflowPunct/>
        <w:topLinePunct w:val="0"/>
        <w:autoSpaceDE/>
        <w:autoSpaceDN/>
        <w:bidi w:val="0"/>
        <w:adjustRightInd/>
        <w:snapToGrid/>
        <w:spacing w:line="580" w:lineRule="exact"/>
        <w:ind w:left="0" w:leftChars="0"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让全区残疾人共享改革发展成果，提高残疾人生活质量。</w:t>
      </w:r>
    </w:p>
    <w:p>
      <w:pPr>
        <w:keepNext w:val="0"/>
        <w:keepLines w:val="0"/>
        <w:pageBreakBefore w:val="0"/>
        <w:tabs>
          <w:tab w:val="left" w:pos="400"/>
        </w:tabs>
        <w:kinsoku/>
        <w:wordWrap/>
        <w:overflowPunct/>
        <w:topLinePunct w:val="0"/>
        <w:autoSpaceDE/>
        <w:autoSpaceDN/>
        <w:bidi w:val="0"/>
        <w:adjustRightInd/>
        <w:snapToGrid/>
        <w:spacing w:line="580" w:lineRule="exact"/>
        <w:ind w:left="0" w:leftChars="0" w:firstLine="640" w:firstLineChars="200"/>
        <w:jc w:val="both"/>
        <w:textAlignment w:val="auto"/>
        <w:rPr>
          <w:rFonts w:ascii="仿宋" w:hAnsi="仿宋" w:eastAsia="仿宋" w:cs="仿宋"/>
          <w:b/>
          <w:bCs/>
          <w:sz w:val="32"/>
          <w:szCs w:val="32"/>
        </w:rPr>
      </w:pPr>
      <w:r>
        <w:rPr>
          <w:rFonts w:hint="eastAsia" w:ascii="仿宋" w:hAnsi="仿宋" w:eastAsia="仿宋" w:cs="仿宋"/>
          <w:b/>
          <w:bCs/>
          <w:sz w:val="32"/>
          <w:szCs w:val="32"/>
        </w:rPr>
        <w:t>6.满意度指标</w:t>
      </w:r>
    </w:p>
    <w:p>
      <w:pPr>
        <w:pStyle w:val="3"/>
        <w:keepNext w:val="0"/>
        <w:keepLines w:val="0"/>
        <w:pageBreakBefore w:val="0"/>
        <w:kinsoku/>
        <w:wordWrap/>
        <w:overflowPunct/>
        <w:topLinePunct w:val="0"/>
        <w:autoSpaceDE/>
        <w:autoSpaceDN/>
        <w:bidi w:val="0"/>
        <w:adjustRightInd/>
        <w:snapToGrid/>
        <w:spacing w:line="580" w:lineRule="exact"/>
        <w:ind w:left="0" w:leftChars="0"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社会公众满意度</w:t>
      </w:r>
      <w:r>
        <w:rPr>
          <w:rFonts w:hint="eastAsia" w:ascii="仿宋" w:hAnsi="仿宋" w:eastAsia="仿宋" w:cs="仿宋"/>
          <w:sz w:val="32"/>
          <w:szCs w:val="32"/>
          <w:lang w:val="en-US" w:eastAsia="zh-CN"/>
        </w:rPr>
        <w:t>90</w:t>
      </w:r>
      <w:r>
        <w:rPr>
          <w:rFonts w:hint="eastAsia" w:ascii="仿宋" w:hAnsi="仿宋" w:eastAsia="仿宋" w:cs="仿宋"/>
          <w:sz w:val="32"/>
          <w:szCs w:val="32"/>
        </w:rPr>
        <w:t>%</w:t>
      </w:r>
      <w:r>
        <w:rPr>
          <w:rFonts w:hint="eastAsia" w:ascii="仿宋" w:hAnsi="仿宋" w:eastAsia="仿宋" w:cs="仿宋"/>
          <w:sz w:val="32"/>
          <w:szCs w:val="32"/>
          <w:lang w:eastAsia="zh-CN"/>
        </w:rPr>
        <w:t>以上</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黑体" w:hAnsi="黑体" w:eastAsia="黑体"/>
          <w:sz w:val="32"/>
          <w:szCs w:val="32"/>
        </w:rPr>
      </w:pPr>
      <w:r>
        <w:rPr>
          <w:rFonts w:hint="eastAsia" w:ascii="黑体" w:hAnsi="黑体" w:eastAsia="黑体"/>
          <w:sz w:val="32"/>
          <w:szCs w:val="32"/>
        </w:rPr>
        <w:t>四、绩效评价工作情况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cs="仿宋"/>
          <w:sz w:val="32"/>
          <w:szCs w:val="32"/>
        </w:rPr>
      </w:pPr>
      <w:r>
        <w:rPr>
          <w:rFonts w:hint="eastAsia" w:ascii="Times New Roman" w:eastAsia="仿宋" w:cs="Times New Roman"/>
          <w:sz w:val="32"/>
          <w:szCs w:val="32"/>
        </w:rPr>
        <w:t>单位</w:t>
      </w:r>
      <w:r>
        <w:rPr>
          <w:rFonts w:ascii="Times New Roman" w:eastAsia="仿宋" w:cs="Times New Roman"/>
          <w:sz w:val="32"/>
          <w:szCs w:val="32"/>
        </w:rPr>
        <w:t>接到</w:t>
      </w:r>
      <w:r>
        <w:rPr>
          <w:rFonts w:hint="eastAsia" w:ascii="Times New Roman" w:eastAsia="仿宋" w:cs="Times New Roman"/>
          <w:sz w:val="32"/>
          <w:szCs w:val="32"/>
        </w:rPr>
        <w:t>通知后</w:t>
      </w:r>
      <w:r>
        <w:rPr>
          <w:rFonts w:ascii="Times New Roman" w:eastAsia="仿宋" w:cs="Times New Roman"/>
          <w:sz w:val="32"/>
          <w:szCs w:val="32"/>
        </w:rPr>
        <w:t>，立即安排专门人员成立绩效评价小组。通过</w:t>
      </w:r>
      <w:r>
        <w:rPr>
          <w:rFonts w:hint="eastAsia" w:ascii="Times New Roman" w:eastAsia="仿宋" w:cs="Times New Roman"/>
          <w:sz w:val="32"/>
          <w:szCs w:val="32"/>
        </w:rPr>
        <w:t>个股</w:t>
      </w:r>
      <w:r>
        <w:rPr>
          <w:rFonts w:ascii="Times New Roman" w:eastAsia="仿宋" w:cs="Times New Roman"/>
          <w:sz w:val="32"/>
          <w:szCs w:val="32"/>
        </w:rPr>
        <w:t>室负责人座谈、查阅会计凭证、核实支出数据、发放调查问卷、走访相关单位等方式获取相关资料后，对单位履职情况进行了综合分析、归纳汇总，按照《部门整体支出绩效评价指标体系评分表》以及相关要求，采用定量分析和定性分析相结合的评价方法，形成该部门整体支出绩效</w:t>
      </w:r>
      <w:r>
        <w:rPr>
          <w:rFonts w:hint="eastAsia" w:ascii="Times New Roman" w:eastAsia="仿宋" w:cs="Times New Roman"/>
          <w:sz w:val="32"/>
          <w:szCs w:val="32"/>
        </w:rPr>
        <w:t>自评</w:t>
      </w:r>
      <w:r>
        <w:rPr>
          <w:rFonts w:ascii="Times New Roman" w:eastAsia="仿宋" w:cs="Times New Roman"/>
          <w:sz w:val="32"/>
          <w:szCs w:val="32"/>
        </w:rPr>
        <w:t>报告。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黑体" w:hAnsi="黑体" w:eastAsia="黑体"/>
          <w:sz w:val="32"/>
          <w:szCs w:val="32"/>
        </w:rPr>
      </w:pPr>
      <w:r>
        <w:rPr>
          <w:rFonts w:hint="eastAsia" w:ascii="黑体" w:hAnsi="黑体" w:eastAsia="黑体"/>
          <w:sz w:val="32"/>
          <w:szCs w:val="32"/>
        </w:rPr>
        <w:t>五、综合评价结果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武陵区残联对2023年度部门整体支出进行了绩效自评，对部门概况、财务情况、部门绩效目标、绩效情况、存在的主要问题及建议等进行了说明，自评得分</w:t>
      </w:r>
      <w:r>
        <w:rPr>
          <w:rFonts w:hint="eastAsia" w:ascii="仿宋" w:hAnsi="仿宋" w:eastAsia="仿宋" w:cs="仿宋"/>
          <w:sz w:val="32"/>
          <w:szCs w:val="32"/>
          <w:lang w:val="en-US" w:eastAsia="zh-CN"/>
        </w:rPr>
        <w:t>97</w:t>
      </w:r>
      <w:r>
        <w:rPr>
          <w:rFonts w:hint="eastAsia" w:ascii="仿宋" w:hAnsi="仿宋" w:eastAsia="仿宋" w:cs="仿宋"/>
          <w:sz w:val="32"/>
          <w:szCs w:val="32"/>
        </w:rPr>
        <w:t>分，自评结果为“优”。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六、部门整体支出绩效情况</w:t>
      </w:r>
    </w:p>
    <w:p>
      <w:pPr>
        <w:keepNext w:val="0"/>
        <w:keepLines w:val="0"/>
        <w:pageBreakBefore w:val="0"/>
        <w:widowControl/>
        <w:kinsoku/>
        <w:wordWrap/>
        <w:overflowPunct/>
        <w:topLinePunct w:val="0"/>
        <w:autoSpaceDE/>
        <w:autoSpaceDN/>
        <w:bidi w:val="0"/>
        <w:adjustRightInd/>
        <w:snapToGrid w:val="0"/>
        <w:spacing w:line="580" w:lineRule="exact"/>
        <w:ind w:left="0" w:leftChars="0" w:firstLine="640" w:firstLineChars="200"/>
        <w:jc w:val="both"/>
        <w:textAlignment w:val="auto"/>
        <w:rPr>
          <w:rFonts w:hint="eastAsia" w:ascii="楷体_GB2312" w:hAnsi="楷体_GB2312" w:eastAsia="楷体_GB2312" w:cs="楷体_GB2312"/>
          <w:b/>
          <w:bCs/>
          <w:color w:val="222222"/>
          <w:kern w:val="0"/>
          <w:sz w:val="32"/>
          <w:szCs w:val="32"/>
          <w:lang w:val="en-US" w:eastAsia="zh-CN"/>
        </w:rPr>
      </w:pPr>
      <w:r>
        <w:rPr>
          <w:rFonts w:hint="eastAsia" w:ascii="楷体_GB2312" w:hAnsi="楷体_GB2312" w:eastAsia="楷体_GB2312" w:cs="楷体_GB2312"/>
          <w:b/>
          <w:bCs/>
          <w:color w:val="222222"/>
          <w:kern w:val="0"/>
          <w:sz w:val="32"/>
          <w:szCs w:val="32"/>
          <w:lang w:val="en-US" w:eastAsia="zh-CN"/>
        </w:rPr>
        <w:t>（一）部门产出指标完成情况</w:t>
      </w:r>
    </w:p>
    <w:p>
      <w:pPr>
        <w:keepNext w:val="0"/>
        <w:keepLines w:val="0"/>
        <w:pageBreakBefore w:val="0"/>
        <w:kinsoku/>
        <w:wordWrap/>
        <w:overflowPunct/>
        <w:topLinePunct w:val="0"/>
        <w:autoSpaceDE/>
        <w:autoSpaceDN/>
        <w:bidi w:val="0"/>
        <w:adjustRightInd/>
        <w:spacing w:line="580" w:lineRule="exact"/>
        <w:ind w:left="0" w:leftChars="0" w:firstLine="640" w:firstLineChars="200"/>
        <w:jc w:val="both"/>
        <w:textAlignment w:val="auto"/>
        <w:rPr>
          <w:rFonts w:ascii="仿宋" w:hAnsi="仿宋" w:eastAsia="仿宋" w:cs="仿宋"/>
          <w:b/>
          <w:bCs/>
          <w:sz w:val="32"/>
          <w:szCs w:val="32"/>
        </w:rPr>
      </w:pPr>
      <w:r>
        <w:rPr>
          <w:rFonts w:hint="eastAsia" w:ascii="仿宋" w:hAnsi="仿宋" w:eastAsia="仿宋" w:cs="仿宋"/>
          <w:b/>
          <w:bCs/>
          <w:sz w:val="32"/>
          <w:szCs w:val="32"/>
        </w:rPr>
        <w:t>1.数量指标</w:t>
      </w:r>
    </w:p>
    <w:p>
      <w:pPr>
        <w:keepNext w:val="0"/>
        <w:keepLines w:val="0"/>
        <w:pageBreakBefore w:val="0"/>
        <w:kinsoku/>
        <w:wordWrap/>
        <w:overflowPunct/>
        <w:topLinePunct w:val="0"/>
        <w:autoSpaceDE/>
        <w:autoSpaceDN/>
        <w:bidi w:val="0"/>
        <w:adjustRightInd/>
        <w:spacing w:line="580" w:lineRule="exact"/>
        <w:ind w:left="0" w:leftChars="0"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(1)提供免费理疗治疗人次</w:t>
      </w:r>
      <w:r>
        <w:rPr>
          <w:rFonts w:hint="eastAsia" w:ascii="仿宋" w:hAnsi="仿宋" w:eastAsia="仿宋" w:cs="仿宋"/>
          <w:sz w:val="32"/>
          <w:szCs w:val="32"/>
          <w:lang w:val="en-US" w:eastAsia="zh-CN"/>
        </w:rPr>
        <w:t>3500</w:t>
      </w:r>
      <w:r>
        <w:rPr>
          <w:rFonts w:hint="eastAsia" w:ascii="仿宋" w:hAnsi="仿宋" w:eastAsia="仿宋" w:cs="仿宋"/>
          <w:sz w:val="32"/>
          <w:szCs w:val="32"/>
        </w:rPr>
        <w:t>人次</w:t>
      </w:r>
      <w:r>
        <w:rPr>
          <w:rFonts w:hint="eastAsia" w:ascii="仿宋" w:hAnsi="仿宋" w:eastAsia="仿宋" w:cs="仿宋"/>
          <w:sz w:val="32"/>
          <w:szCs w:val="32"/>
          <w:lang w:eastAsia="zh-CN"/>
        </w:rPr>
        <w:t>，目标</w:t>
      </w:r>
      <w:r>
        <w:rPr>
          <w:rFonts w:hint="eastAsia" w:ascii="仿宋" w:hAnsi="仿宋" w:eastAsia="仿宋" w:cs="仿宋"/>
          <w:sz w:val="32"/>
          <w:szCs w:val="32"/>
          <w:lang w:val="en-US" w:eastAsia="zh-CN"/>
        </w:rPr>
        <w:t>100%完成</w:t>
      </w:r>
      <w:r>
        <w:rPr>
          <w:rFonts w:hint="eastAsia" w:ascii="仿宋" w:hAnsi="仿宋" w:eastAsia="仿宋" w:cs="仿宋"/>
          <w:sz w:val="32"/>
          <w:szCs w:val="32"/>
        </w:rPr>
        <w:t>；</w:t>
      </w:r>
    </w:p>
    <w:p>
      <w:pPr>
        <w:keepNext w:val="0"/>
        <w:keepLines w:val="0"/>
        <w:pageBreakBefore w:val="0"/>
        <w:kinsoku/>
        <w:wordWrap/>
        <w:overflowPunct/>
        <w:topLinePunct w:val="0"/>
        <w:autoSpaceDE/>
        <w:autoSpaceDN/>
        <w:bidi w:val="0"/>
        <w:adjustRightInd/>
        <w:spacing w:line="580" w:lineRule="exact"/>
        <w:ind w:left="0" w:leftChars="0"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(2)为残疾儿童（脑瘫、自闭、智力等）提供康复训练人数</w:t>
      </w:r>
      <w:r>
        <w:rPr>
          <w:rFonts w:hint="eastAsia" w:ascii="仿宋" w:hAnsi="仿宋" w:eastAsia="仿宋" w:cs="仿宋"/>
          <w:sz w:val="32"/>
          <w:szCs w:val="32"/>
          <w:lang w:val="en-US" w:eastAsia="zh-CN"/>
        </w:rPr>
        <w:t>118</w:t>
      </w:r>
      <w:bookmarkStart w:id="1" w:name="_GoBack"/>
      <w:bookmarkEnd w:id="1"/>
      <w:r>
        <w:rPr>
          <w:rFonts w:hint="eastAsia" w:ascii="仿宋" w:hAnsi="仿宋" w:eastAsia="仿宋" w:cs="仿宋"/>
          <w:sz w:val="32"/>
          <w:szCs w:val="32"/>
        </w:rPr>
        <w:t>人</w:t>
      </w:r>
      <w:r>
        <w:rPr>
          <w:rFonts w:hint="eastAsia" w:ascii="仿宋" w:hAnsi="仿宋" w:eastAsia="仿宋" w:cs="仿宋"/>
          <w:sz w:val="32"/>
          <w:szCs w:val="32"/>
          <w:lang w:eastAsia="zh-CN"/>
        </w:rPr>
        <w:t>，目标</w:t>
      </w:r>
      <w:r>
        <w:rPr>
          <w:rFonts w:hint="eastAsia" w:ascii="仿宋" w:hAnsi="仿宋" w:eastAsia="仿宋" w:cs="仿宋"/>
          <w:sz w:val="32"/>
          <w:szCs w:val="32"/>
          <w:lang w:val="en-US" w:eastAsia="zh-CN"/>
        </w:rPr>
        <w:t>基本完成</w:t>
      </w:r>
      <w:r>
        <w:rPr>
          <w:rFonts w:hint="eastAsia" w:ascii="仿宋" w:hAnsi="仿宋" w:eastAsia="仿宋" w:cs="仿宋"/>
          <w:sz w:val="32"/>
          <w:szCs w:val="32"/>
        </w:rPr>
        <w:t>；</w:t>
      </w:r>
    </w:p>
    <w:p>
      <w:pPr>
        <w:keepNext w:val="0"/>
        <w:keepLines w:val="0"/>
        <w:pageBreakBefore w:val="0"/>
        <w:kinsoku/>
        <w:wordWrap/>
        <w:overflowPunct/>
        <w:topLinePunct w:val="0"/>
        <w:autoSpaceDE/>
        <w:autoSpaceDN/>
        <w:bidi w:val="0"/>
        <w:adjustRightInd/>
        <w:spacing w:line="580" w:lineRule="exact"/>
        <w:ind w:left="0" w:leftChars="0"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(3)提供残疾人辅助器具</w:t>
      </w:r>
      <w:r>
        <w:rPr>
          <w:rFonts w:hint="eastAsia" w:ascii="仿宋" w:hAnsi="仿宋" w:eastAsia="仿宋" w:cs="仿宋"/>
          <w:sz w:val="32"/>
          <w:szCs w:val="32"/>
          <w:lang w:val="en-US" w:eastAsia="zh-CN"/>
        </w:rPr>
        <w:t>567</w:t>
      </w:r>
      <w:r>
        <w:rPr>
          <w:rFonts w:hint="eastAsia" w:ascii="仿宋" w:hAnsi="仿宋" w:eastAsia="仿宋" w:cs="仿宋"/>
          <w:sz w:val="32"/>
          <w:szCs w:val="32"/>
        </w:rPr>
        <w:t>件</w:t>
      </w:r>
      <w:r>
        <w:rPr>
          <w:rFonts w:hint="eastAsia" w:ascii="仿宋" w:hAnsi="仿宋" w:eastAsia="仿宋" w:cs="仿宋"/>
          <w:sz w:val="32"/>
          <w:szCs w:val="32"/>
          <w:lang w:eastAsia="zh-CN"/>
        </w:rPr>
        <w:t>，目标</w:t>
      </w:r>
      <w:r>
        <w:rPr>
          <w:rFonts w:hint="eastAsia" w:ascii="仿宋" w:hAnsi="仿宋" w:eastAsia="仿宋" w:cs="仿宋"/>
          <w:sz w:val="32"/>
          <w:szCs w:val="32"/>
          <w:lang w:val="en-US" w:eastAsia="zh-CN"/>
        </w:rPr>
        <w:t>已完成</w:t>
      </w:r>
      <w:r>
        <w:rPr>
          <w:rFonts w:hint="eastAsia" w:ascii="仿宋" w:hAnsi="仿宋" w:eastAsia="仿宋" w:cs="仿宋"/>
          <w:sz w:val="32"/>
          <w:szCs w:val="32"/>
        </w:rPr>
        <w:t>；</w:t>
      </w:r>
    </w:p>
    <w:p>
      <w:pPr>
        <w:keepNext w:val="0"/>
        <w:keepLines w:val="0"/>
        <w:pageBreakBefore w:val="0"/>
        <w:kinsoku/>
        <w:wordWrap/>
        <w:overflowPunct/>
        <w:topLinePunct w:val="0"/>
        <w:autoSpaceDE/>
        <w:autoSpaceDN/>
        <w:bidi w:val="0"/>
        <w:adjustRightInd/>
        <w:spacing w:line="580" w:lineRule="exact"/>
        <w:ind w:left="0" w:leftChars="0" w:firstLine="640" w:firstLineChars="200"/>
        <w:jc w:val="both"/>
        <w:textAlignment w:val="auto"/>
        <w:rPr>
          <w:rFonts w:ascii="仿宋" w:hAnsi="仿宋" w:eastAsia="仿宋" w:cs="仿宋"/>
          <w:sz w:val="32"/>
          <w:szCs w:val="32"/>
          <w:highlight w:val="none"/>
        </w:rPr>
      </w:pPr>
      <w:r>
        <w:rPr>
          <w:rFonts w:hint="eastAsia" w:ascii="仿宋" w:hAnsi="仿宋" w:eastAsia="仿宋" w:cs="仿宋"/>
          <w:sz w:val="32"/>
          <w:szCs w:val="32"/>
        </w:rPr>
        <w:t>(4)精神病救助</w:t>
      </w:r>
      <w:r>
        <w:rPr>
          <w:rFonts w:hint="eastAsia" w:ascii="仿宋" w:hAnsi="仿宋" w:eastAsia="仿宋" w:cs="仿宋"/>
          <w:sz w:val="32"/>
          <w:szCs w:val="32"/>
          <w:highlight w:val="none"/>
          <w:lang w:val="en-US" w:eastAsia="zh-CN"/>
        </w:rPr>
        <w:t>361</w:t>
      </w:r>
      <w:r>
        <w:rPr>
          <w:rFonts w:hint="eastAsia" w:ascii="仿宋" w:hAnsi="仿宋" w:eastAsia="仿宋" w:cs="仿宋"/>
          <w:sz w:val="32"/>
          <w:szCs w:val="32"/>
          <w:highlight w:val="none"/>
        </w:rPr>
        <w:t>人</w:t>
      </w:r>
      <w:r>
        <w:rPr>
          <w:rFonts w:hint="eastAsia" w:ascii="仿宋" w:hAnsi="仿宋" w:eastAsia="仿宋" w:cs="仿宋"/>
          <w:sz w:val="32"/>
          <w:szCs w:val="32"/>
          <w:highlight w:val="none"/>
          <w:lang w:eastAsia="zh-CN"/>
        </w:rPr>
        <w:t>，目标部分</w:t>
      </w:r>
      <w:r>
        <w:rPr>
          <w:rFonts w:hint="eastAsia" w:ascii="仿宋" w:hAnsi="仿宋" w:eastAsia="仿宋" w:cs="仿宋"/>
          <w:sz w:val="32"/>
          <w:szCs w:val="32"/>
          <w:highlight w:val="none"/>
          <w:lang w:val="en-US" w:eastAsia="zh-CN"/>
        </w:rPr>
        <w:t>完成（本项目于2023年6月停止）</w:t>
      </w:r>
      <w:r>
        <w:rPr>
          <w:rFonts w:hint="eastAsia" w:ascii="仿宋" w:hAnsi="仿宋" w:eastAsia="仿宋" w:cs="仿宋"/>
          <w:sz w:val="32"/>
          <w:szCs w:val="32"/>
          <w:highlight w:val="none"/>
        </w:rPr>
        <w:t>；</w:t>
      </w:r>
    </w:p>
    <w:p>
      <w:pPr>
        <w:keepNext w:val="0"/>
        <w:keepLines w:val="0"/>
        <w:pageBreakBefore w:val="0"/>
        <w:kinsoku/>
        <w:wordWrap/>
        <w:overflowPunct/>
        <w:topLinePunct w:val="0"/>
        <w:autoSpaceDE/>
        <w:autoSpaceDN/>
        <w:bidi w:val="0"/>
        <w:adjustRightInd/>
        <w:spacing w:line="580" w:lineRule="exact"/>
        <w:ind w:left="0" w:leftChars="0" w:firstLine="640" w:firstLineChars="200"/>
        <w:jc w:val="both"/>
        <w:textAlignment w:val="auto"/>
        <w:rPr>
          <w:rFonts w:ascii="仿宋" w:hAnsi="仿宋" w:eastAsia="仿宋" w:cs="仿宋"/>
          <w:sz w:val="32"/>
          <w:szCs w:val="32"/>
        </w:rPr>
      </w:pPr>
      <w:r>
        <w:rPr>
          <w:rFonts w:hint="eastAsia" w:ascii="仿宋" w:hAnsi="仿宋" w:eastAsia="仿宋" w:cs="仿宋"/>
          <w:sz w:val="32"/>
          <w:szCs w:val="32"/>
          <w:highlight w:val="none"/>
        </w:rPr>
        <w:t>(5)为残疾人提供免费托养、居家、日间照料服务人次</w:t>
      </w:r>
      <w:r>
        <w:rPr>
          <w:rFonts w:hint="eastAsia" w:ascii="仿宋" w:hAnsi="仿宋" w:eastAsia="仿宋" w:cs="仿宋"/>
          <w:sz w:val="32"/>
          <w:szCs w:val="32"/>
          <w:highlight w:val="none"/>
          <w:lang w:val="en-US" w:eastAsia="zh-CN"/>
        </w:rPr>
        <w:t>182</w:t>
      </w:r>
      <w:r>
        <w:rPr>
          <w:rFonts w:hint="eastAsia" w:ascii="仿宋" w:hAnsi="仿宋" w:eastAsia="仿宋" w:cs="仿宋"/>
          <w:sz w:val="32"/>
          <w:szCs w:val="32"/>
          <w:highlight w:val="none"/>
        </w:rPr>
        <w:t>人</w:t>
      </w:r>
      <w:r>
        <w:rPr>
          <w:rFonts w:hint="eastAsia" w:ascii="仿宋" w:hAnsi="仿宋" w:eastAsia="仿宋" w:cs="仿宋"/>
          <w:sz w:val="32"/>
          <w:szCs w:val="32"/>
          <w:highlight w:val="none"/>
          <w:lang w:eastAsia="zh-CN"/>
        </w:rPr>
        <w:t>，目</w:t>
      </w:r>
      <w:r>
        <w:rPr>
          <w:rFonts w:hint="eastAsia" w:ascii="仿宋" w:hAnsi="仿宋" w:eastAsia="仿宋" w:cs="仿宋"/>
          <w:sz w:val="32"/>
          <w:szCs w:val="32"/>
          <w:lang w:eastAsia="zh-CN"/>
        </w:rPr>
        <w:t>标</w:t>
      </w:r>
      <w:r>
        <w:rPr>
          <w:rFonts w:hint="eastAsia" w:ascii="仿宋" w:hAnsi="仿宋" w:eastAsia="仿宋" w:cs="仿宋"/>
          <w:sz w:val="32"/>
          <w:szCs w:val="32"/>
          <w:lang w:val="en-US" w:eastAsia="zh-CN"/>
        </w:rPr>
        <w:t>已完成</w:t>
      </w:r>
      <w:r>
        <w:rPr>
          <w:rFonts w:hint="eastAsia" w:ascii="仿宋" w:hAnsi="仿宋" w:eastAsia="仿宋" w:cs="仿宋"/>
          <w:sz w:val="32"/>
          <w:szCs w:val="32"/>
        </w:rPr>
        <w:t>；</w:t>
      </w:r>
    </w:p>
    <w:p>
      <w:pPr>
        <w:keepNext w:val="0"/>
        <w:keepLines w:val="0"/>
        <w:pageBreakBefore w:val="0"/>
        <w:kinsoku/>
        <w:wordWrap/>
        <w:overflowPunct/>
        <w:topLinePunct w:val="0"/>
        <w:autoSpaceDE/>
        <w:autoSpaceDN/>
        <w:bidi w:val="0"/>
        <w:adjustRightInd/>
        <w:spacing w:line="580" w:lineRule="exact"/>
        <w:ind w:left="0" w:leftChars="0"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(6)无障碍改造</w:t>
      </w:r>
      <w:r>
        <w:rPr>
          <w:rFonts w:hint="eastAsia" w:ascii="仿宋" w:hAnsi="仿宋" w:eastAsia="仿宋" w:cs="仿宋"/>
          <w:sz w:val="32"/>
          <w:szCs w:val="32"/>
          <w:lang w:val="en-US" w:eastAsia="zh-CN"/>
        </w:rPr>
        <w:t>30</w:t>
      </w:r>
      <w:r>
        <w:rPr>
          <w:rFonts w:hint="eastAsia" w:ascii="仿宋" w:hAnsi="仿宋" w:eastAsia="仿宋" w:cs="仿宋"/>
          <w:sz w:val="32"/>
          <w:szCs w:val="32"/>
        </w:rPr>
        <w:t>户</w:t>
      </w:r>
      <w:r>
        <w:rPr>
          <w:rFonts w:hint="eastAsia" w:ascii="仿宋" w:hAnsi="仿宋" w:eastAsia="仿宋" w:cs="仿宋"/>
          <w:sz w:val="32"/>
          <w:szCs w:val="32"/>
          <w:lang w:eastAsia="zh-CN"/>
        </w:rPr>
        <w:t>，目标</w:t>
      </w:r>
      <w:r>
        <w:rPr>
          <w:rFonts w:hint="eastAsia" w:ascii="仿宋" w:hAnsi="仿宋" w:eastAsia="仿宋" w:cs="仿宋"/>
          <w:sz w:val="32"/>
          <w:szCs w:val="32"/>
          <w:lang w:val="en-US" w:eastAsia="zh-CN"/>
        </w:rPr>
        <w:t>已完成</w:t>
      </w:r>
      <w:r>
        <w:rPr>
          <w:rFonts w:hint="eastAsia" w:ascii="仿宋" w:hAnsi="仿宋" w:eastAsia="仿宋" w:cs="仿宋"/>
          <w:sz w:val="32"/>
          <w:szCs w:val="32"/>
        </w:rPr>
        <w:t>；</w:t>
      </w:r>
    </w:p>
    <w:p>
      <w:pPr>
        <w:keepNext w:val="0"/>
        <w:keepLines w:val="0"/>
        <w:pageBreakBefore w:val="0"/>
        <w:kinsoku/>
        <w:wordWrap/>
        <w:overflowPunct/>
        <w:topLinePunct w:val="0"/>
        <w:autoSpaceDE/>
        <w:autoSpaceDN/>
        <w:bidi w:val="0"/>
        <w:adjustRightInd/>
        <w:spacing w:line="580" w:lineRule="exact"/>
        <w:ind w:left="0" w:leftChars="0"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(7)高中阶段残疾人学生及贫困残疾人家庭学生子女、残疾人大学生及残疾人家庭大学生子女、区级教育资助人次</w:t>
      </w:r>
      <w:r>
        <w:rPr>
          <w:rFonts w:hint="eastAsia" w:ascii="仿宋" w:hAnsi="仿宋" w:eastAsia="仿宋" w:cs="仿宋"/>
          <w:sz w:val="32"/>
          <w:szCs w:val="32"/>
          <w:lang w:val="en-US" w:eastAsia="zh-CN"/>
        </w:rPr>
        <w:t>55</w:t>
      </w:r>
      <w:r>
        <w:rPr>
          <w:rFonts w:hint="eastAsia" w:ascii="仿宋" w:hAnsi="仿宋" w:eastAsia="仿宋" w:cs="仿宋"/>
          <w:sz w:val="32"/>
          <w:szCs w:val="32"/>
        </w:rPr>
        <w:t>人次</w:t>
      </w:r>
      <w:r>
        <w:rPr>
          <w:rFonts w:hint="eastAsia" w:ascii="仿宋" w:hAnsi="仿宋" w:eastAsia="仿宋" w:cs="仿宋"/>
          <w:sz w:val="32"/>
          <w:szCs w:val="32"/>
          <w:lang w:eastAsia="zh-CN"/>
        </w:rPr>
        <w:t>，目标</w:t>
      </w:r>
      <w:r>
        <w:rPr>
          <w:rFonts w:hint="eastAsia" w:ascii="仿宋" w:hAnsi="仿宋" w:eastAsia="仿宋" w:cs="仿宋"/>
          <w:sz w:val="32"/>
          <w:szCs w:val="32"/>
          <w:lang w:val="en-US" w:eastAsia="zh-CN"/>
        </w:rPr>
        <w:t>已完成</w:t>
      </w:r>
      <w:r>
        <w:rPr>
          <w:rFonts w:hint="eastAsia" w:ascii="仿宋" w:hAnsi="仿宋" w:eastAsia="仿宋" w:cs="仿宋"/>
          <w:sz w:val="32"/>
          <w:szCs w:val="32"/>
        </w:rPr>
        <w:t>；</w:t>
      </w:r>
    </w:p>
    <w:p>
      <w:pPr>
        <w:keepNext w:val="0"/>
        <w:keepLines w:val="0"/>
        <w:pageBreakBefore w:val="0"/>
        <w:kinsoku/>
        <w:wordWrap/>
        <w:overflowPunct/>
        <w:topLinePunct w:val="0"/>
        <w:autoSpaceDE/>
        <w:autoSpaceDN/>
        <w:bidi w:val="0"/>
        <w:adjustRightInd/>
        <w:spacing w:line="580" w:lineRule="exact"/>
        <w:ind w:left="0" w:leftChars="0"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(8)组织残疾人培训</w:t>
      </w:r>
      <w:r>
        <w:rPr>
          <w:rFonts w:hint="eastAsia" w:ascii="仿宋" w:hAnsi="仿宋" w:eastAsia="仿宋" w:cs="仿宋"/>
          <w:sz w:val="32"/>
          <w:szCs w:val="32"/>
          <w:highlight w:val="none"/>
          <w:lang w:val="en-US" w:eastAsia="zh-CN"/>
        </w:rPr>
        <w:t>25</w:t>
      </w:r>
      <w:r>
        <w:rPr>
          <w:rFonts w:hint="eastAsia" w:ascii="仿宋" w:hAnsi="仿宋" w:eastAsia="仿宋" w:cs="仿宋"/>
          <w:sz w:val="32"/>
          <w:szCs w:val="32"/>
        </w:rPr>
        <w:t>人次</w:t>
      </w:r>
      <w:r>
        <w:rPr>
          <w:rFonts w:hint="eastAsia" w:ascii="仿宋" w:hAnsi="仿宋" w:eastAsia="仿宋" w:cs="仿宋"/>
          <w:sz w:val="32"/>
          <w:szCs w:val="32"/>
          <w:lang w:eastAsia="zh-CN"/>
        </w:rPr>
        <w:t>，目标</w:t>
      </w:r>
      <w:r>
        <w:rPr>
          <w:rFonts w:hint="eastAsia" w:ascii="仿宋" w:hAnsi="仿宋" w:eastAsia="仿宋" w:cs="仿宋"/>
          <w:sz w:val="32"/>
          <w:szCs w:val="32"/>
          <w:lang w:val="en-US" w:eastAsia="zh-CN"/>
        </w:rPr>
        <w:t>部分完成</w:t>
      </w:r>
      <w:r>
        <w:rPr>
          <w:rFonts w:hint="eastAsia" w:ascii="仿宋" w:hAnsi="仿宋" w:eastAsia="仿宋" w:cs="仿宋"/>
          <w:sz w:val="32"/>
          <w:szCs w:val="32"/>
        </w:rPr>
        <w:t>；</w:t>
      </w:r>
    </w:p>
    <w:p>
      <w:pPr>
        <w:keepNext w:val="0"/>
        <w:keepLines w:val="0"/>
        <w:pageBreakBefore w:val="0"/>
        <w:kinsoku/>
        <w:wordWrap/>
        <w:overflowPunct/>
        <w:topLinePunct w:val="0"/>
        <w:autoSpaceDE/>
        <w:autoSpaceDN/>
        <w:bidi w:val="0"/>
        <w:adjustRightInd/>
        <w:spacing w:line="580" w:lineRule="exact"/>
        <w:ind w:left="0" w:leftChars="0"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 xml:space="preserve">(9)扶持残疾人创业 </w:t>
      </w:r>
      <w:r>
        <w:rPr>
          <w:rFonts w:hint="eastAsia" w:ascii="仿宋" w:hAnsi="仿宋" w:eastAsia="仿宋" w:cs="仿宋"/>
          <w:sz w:val="32"/>
          <w:szCs w:val="32"/>
          <w:lang w:val="en-US" w:eastAsia="zh-CN"/>
        </w:rPr>
        <w:t>18</w:t>
      </w:r>
      <w:r>
        <w:rPr>
          <w:rFonts w:hint="eastAsia" w:ascii="仿宋" w:hAnsi="仿宋" w:eastAsia="仿宋" w:cs="仿宋"/>
          <w:sz w:val="32"/>
          <w:szCs w:val="32"/>
        </w:rPr>
        <w:t>人</w:t>
      </w:r>
      <w:r>
        <w:rPr>
          <w:rFonts w:hint="eastAsia" w:ascii="仿宋" w:hAnsi="仿宋" w:eastAsia="仿宋" w:cs="仿宋"/>
          <w:sz w:val="32"/>
          <w:szCs w:val="32"/>
          <w:lang w:eastAsia="zh-CN"/>
        </w:rPr>
        <w:t>，目标</w:t>
      </w:r>
      <w:r>
        <w:rPr>
          <w:rFonts w:hint="eastAsia" w:ascii="仿宋" w:hAnsi="仿宋" w:eastAsia="仿宋" w:cs="仿宋"/>
          <w:sz w:val="32"/>
          <w:szCs w:val="32"/>
          <w:lang w:val="en-US" w:eastAsia="zh-CN"/>
        </w:rPr>
        <w:t>已完成</w:t>
      </w:r>
      <w:r>
        <w:rPr>
          <w:rFonts w:hint="eastAsia" w:ascii="仿宋" w:hAnsi="仿宋" w:eastAsia="仿宋" w:cs="仿宋"/>
          <w:sz w:val="32"/>
          <w:szCs w:val="32"/>
        </w:rPr>
        <w:t>；</w:t>
      </w:r>
    </w:p>
    <w:p>
      <w:pPr>
        <w:keepNext w:val="0"/>
        <w:keepLines w:val="0"/>
        <w:pageBreakBefore w:val="0"/>
        <w:kinsoku/>
        <w:wordWrap/>
        <w:overflowPunct/>
        <w:topLinePunct w:val="0"/>
        <w:autoSpaceDE/>
        <w:autoSpaceDN/>
        <w:bidi w:val="0"/>
        <w:adjustRightInd/>
        <w:spacing w:line="580" w:lineRule="exact"/>
        <w:ind w:left="0" w:leftChars="0"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(10)</w:t>
      </w:r>
      <w:r>
        <w:rPr>
          <w:rFonts w:hint="eastAsia" w:ascii="仿宋" w:hAnsi="仿宋" w:eastAsia="仿宋" w:cs="仿宋"/>
          <w:color w:val="000000"/>
          <w:spacing w:val="-4"/>
          <w:kern w:val="0"/>
          <w:sz w:val="32"/>
          <w:szCs w:val="32"/>
          <w:lang w:bidi="ar"/>
        </w:rPr>
        <w:t>辅助残疾人就业</w:t>
      </w:r>
      <w:r>
        <w:rPr>
          <w:rFonts w:hint="eastAsia" w:ascii="仿宋" w:hAnsi="仿宋" w:eastAsia="仿宋" w:cs="仿宋"/>
          <w:sz w:val="32"/>
          <w:szCs w:val="32"/>
          <w:lang w:val="en-US" w:eastAsia="zh-CN"/>
        </w:rPr>
        <w:t>13</w:t>
      </w:r>
      <w:r>
        <w:rPr>
          <w:rFonts w:hint="eastAsia" w:ascii="仿宋" w:hAnsi="仿宋" w:eastAsia="仿宋" w:cs="仿宋"/>
          <w:sz w:val="32"/>
          <w:szCs w:val="32"/>
        </w:rPr>
        <w:t>人</w:t>
      </w:r>
      <w:r>
        <w:rPr>
          <w:rFonts w:hint="eastAsia" w:ascii="仿宋" w:hAnsi="仿宋" w:eastAsia="仿宋" w:cs="仿宋"/>
          <w:sz w:val="32"/>
          <w:szCs w:val="32"/>
          <w:lang w:eastAsia="zh-CN"/>
        </w:rPr>
        <w:t>，目标</w:t>
      </w:r>
      <w:r>
        <w:rPr>
          <w:rFonts w:hint="eastAsia" w:ascii="仿宋" w:hAnsi="仿宋" w:eastAsia="仿宋" w:cs="仿宋"/>
          <w:sz w:val="32"/>
          <w:szCs w:val="32"/>
          <w:lang w:val="en-US" w:eastAsia="zh-CN"/>
        </w:rPr>
        <w:t>已完成</w:t>
      </w:r>
      <w:r>
        <w:rPr>
          <w:rFonts w:hint="eastAsia" w:ascii="仿宋" w:hAnsi="仿宋" w:eastAsia="仿宋" w:cs="仿宋"/>
          <w:sz w:val="32"/>
          <w:szCs w:val="32"/>
        </w:rPr>
        <w:t>；</w:t>
      </w:r>
    </w:p>
    <w:p>
      <w:pPr>
        <w:keepNext w:val="0"/>
        <w:keepLines w:val="0"/>
        <w:pageBreakBefore w:val="0"/>
        <w:kinsoku/>
        <w:wordWrap/>
        <w:overflowPunct/>
        <w:topLinePunct w:val="0"/>
        <w:autoSpaceDE/>
        <w:autoSpaceDN/>
        <w:bidi w:val="0"/>
        <w:adjustRightInd/>
        <w:spacing w:line="580" w:lineRule="exact"/>
        <w:ind w:left="0" w:leftChars="0"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(11)</w:t>
      </w:r>
      <w:r>
        <w:rPr>
          <w:rFonts w:hint="eastAsia" w:ascii="仿宋" w:hAnsi="仿宋" w:eastAsia="仿宋" w:cs="仿宋"/>
          <w:color w:val="000000"/>
          <w:spacing w:val="-4"/>
          <w:kern w:val="0"/>
          <w:sz w:val="32"/>
          <w:szCs w:val="32"/>
          <w:lang w:bidi="ar"/>
        </w:rPr>
        <w:t>发放燃油补贴数</w:t>
      </w:r>
      <w:r>
        <w:rPr>
          <w:rFonts w:hint="eastAsia" w:ascii="仿宋" w:hAnsi="仿宋" w:eastAsia="仿宋" w:cs="仿宋"/>
          <w:sz w:val="32"/>
          <w:szCs w:val="32"/>
          <w:lang w:val="en-US" w:eastAsia="zh-CN"/>
        </w:rPr>
        <w:t>3</w:t>
      </w:r>
      <w:r>
        <w:rPr>
          <w:rFonts w:hint="eastAsia" w:ascii="仿宋" w:hAnsi="仿宋" w:eastAsia="仿宋" w:cs="仿宋"/>
          <w:color w:val="000000"/>
          <w:spacing w:val="-4"/>
          <w:kern w:val="0"/>
          <w:sz w:val="32"/>
          <w:szCs w:val="32"/>
          <w:lang w:bidi="ar"/>
        </w:rPr>
        <w:t>人</w:t>
      </w:r>
      <w:r>
        <w:rPr>
          <w:rFonts w:hint="eastAsia" w:ascii="仿宋" w:hAnsi="仿宋" w:eastAsia="仿宋" w:cs="仿宋"/>
          <w:sz w:val="32"/>
          <w:szCs w:val="32"/>
          <w:lang w:eastAsia="zh-CN"/>
        </w:rPr>
        <w:t>，目标</w:t>
      </w:r>
      <w:r>
        <w:rPr>
          <w:rFonts w:hint="eastAsia" w:ascii="仿宋" w:hAnsi="仿宋" w:eastAsia="仿宋" w:cs="仿宋"/>
          <w:sz w:val="32"/>
          <w:szCs w:val="32"/>
          <w:lang w:val="en-US" w:eastAsia="zh-CN"/>
        </w:rPr>
        <w:t>已完成</w:t>
      </w:r>
      <w:r>
        <w:rPr>
          <w:rFonts w:hint="eastAsia" w:ascii="仿宋" w:hAnsi="仿宋" w:eastAsia="仿宋" w:cs="仿宋"/>
          <w:sz w:val="32"/>
          <w:szCs w:val="32"/>
        </w:rPr>
        <w:t>；</w:t>
      </w:r>
    </w:p>
    <w:p>
      <w:pPr>
        <w:keepNext w:val="0"/>
        <w:keepLines w:val="0"/>
        <w:pageBreakBefore w:val="0"/>
        <w:kinsoku/>
        <w:wordWrap/>
        <w:overflowPunct/>
        <w:topLinePunct w:val="0"/>
        <w:autoSpaceDE/>
        <w:autoSpaceDN/>
        <w:bidi w:val="0"/>
        <w:adjustRightInd/>
        <w:spacing w:line="580" w:lineRule="exact"/>
        <w:ind w:left="0" w:leftChars="0"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 xml:space="preserve">(12)专职残疾人补贴人数 </w:t>
      </w:r>
      <w:r>
        <w:rPr>
          <w:rFonts w:hint="eastAsia" w:ascii="仿宋" w:hAnsi="仿宋" w:eastAsia="仿宋" w:cs="仿宋"/>
          <w:sz w:val="32"/>
          <w:szCs w:val="32"/>
          <w:lang w:val="en-US" w:eastAsia="zh-CN"/>
        </w:rPr>
        <w:t>143</w:t>
      </w:r>
      <w:r>
        <w:rPr>
          <w:rFonts w:hint="eastAsia" w:ascii="仿宋" w:hAnsi="仿宋" w:eastAsia="仿宋" w:cs="仿宋"/>
          <w:sz w:val="32"/>
          <w:szCs w:val="32"/>
        </w:rPr>
        <w:t>人</w:t>
      </w:r>
      <w:r>
        <w:rPr>
          <w:rFonts w:hint="eastAsia" w:ascii="仿宋" w:hAnsi="仿宋" w:eastAsia="仿宋" w:cs="仿宋"/>
          <w:sz w:val="32"/>
          <w:szCs w:val="32"/>
          <w:lang w:eastAsia="zh-CN"/>
        </w:rPr>
        <w:t>，目标</w:t>
      </w:r>
      <w:r>
        <w:rPr>
          <w:rFonts w:hint="eastAsia" w:ascii="仿宋" w:hAnsi="仿宋" w:eastAsia="仿宋" w:cs="仿宋"/>
          <w:sz w:val="32"/>
          <w:szCs w:val="32"/>
          <w:lang w:val="en-US" w:eastAsia="zh-CN"/>
        </w:rPr>
        <w:t>已完成</w:t>
      </w:r>
      <w:r>
        <w:rPr>
          <w:rFonts w:hint="eastAsia" w:ascii="仿宋" w:hAnsi="仿宋" w:eastAsia="仿宋" w:cs="仿宋"/>
          <w:sz w:val="32"/>
          <w:szCs w:val="32"/>
        </w:rPr>
        <w:t>；</w:t>
      </w:r>
    </w:p>
    <w:p>
      <w:pPr>
        <w:keepNext w:val="0"/>
        <w:keepLines w:val="0"/>
        <w:pageBreakBefore w:val="0"/>
        <w:kinsoku/>
        <w:wordWrap/>
        <w:overflowPunct/>
        <w:topLinePunct w:val="0"/>
        <w:autoSpaceDE/>
        <w:autoSpaceDN/>
        <w:bidi w:val="0"/>
        <w:adjustRightInd/>
        <w:spacing w:line="580" w:lineRule="exact"/>
        <w:ind w:left="0" w:leftChars="0"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(13)提供假肢安装人数</w:t>
      </w:r>
      <w:r>
        <w:rPr>
          <w:rFonts w:hint="eastAsia" w:ascii="仿宋" w:hAnsi="仿宋" w:eastAsia="仿宋" w:cs="仿宋"/>
          <w:sz w:val="32"/>
          <w:szCs w:val="32"/>
          <w:lang w:val="en-US" w:eastAsia="zh-CN"/>
        </w:rPr>
        <w:t>23</w:t>
      </w:r>
      <w:r>
        <w:rPr>
          <w:rFonts w:hint="eastAsia" w:ascii="仿宋" w:hAnsi="仿宋" w:eastAsia="仿宋" w:cs="仿宋"/>
          <w:sz w:val="32"/>
          <w:szCs w:val="32"/>
        </w:rPr>
        <w:t>人</w:t>
      </w:r>
      <w:r>
        <w:rPr>
          <w:rFonts w:hint="eastAsia" w:ascii="仿宋" w:hAnsi="仿宋" w:eastAsia="仿宋" w:cs="仿宋"/>
          <w:sz w:val="32"/>
          <w:szCs w:val="32"/>
          <w:lang w:eastAsia="zh-CN"/>
        </w:rPr>
        <w:t>，目标</w:t>
      </w:r>
      <w:r>
        <w:rPr>
          <w:rFonts w:hint="eastAsia" w:ascii="仿宋" w:hAnsi="仿宋" w:eastAsia="仿宋" w:cs="仿宋"/>
          <w:sz w:val="32"/>
          <w:szCs w:val="32"/>
          <w:lang w:val="en-US" w:eastAsia="zh-CN"/>
        </w:rPr>
        <w:t>已完成</w:t>
      </w:r>
      <w:r>
        <w:rPr>
          <w:rFonts w:hint="eastAsia" w:ascii="仿宋" w:hAnsi="仿宋" w:eastAsia="仿宋" w:cs="仿宋"/>
          <w:sz w:val="32"/>
          <w:szCs w:val="32"/>
        </w:rPr>
        <w:t>；</w:t>
      </w:r>
    </w:p>
    <w:p>
      <w:pPr>
        <w:keepNext w:val="0"/>
        <w:keepLines w:val="0"/>
        <w:pageBreakBefore w:val="0"/>
        <w:kinsoku/>
        <w:wordWrap/>
        <w:overflowPunct/>
        <w:topLinePunct w:val="0"/>
        <w:autoSpaceDE/>
        <w:autoSpaceDN/>
        <w:bidi w:val="0"/>
        <w:adjustRightInd/>
        <w:spacing w:line="580" w:lineRule="exact"/>
        <w:ind w:left="0" w:leftChars="0"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(14)白内障手术人次</w:t>
      </w:r>
      <w:r>
        <w:rPr>
          <w:rFonts w:hint="eastAsia" w:ascii="仿宋" w:hAnsi="仿宋" w:eastAsia="仿宋" w:cs="仿宋"/>
          <w:sz w:val="32"/>
          <w:szCs w:val="32"/>
          <w:lang w:val="en-US" w:eastAsia="zh-CN"/>
        </w:rPr>
        <w:t>50</w:t>
      </w:r>
      <w:r>
        <w:rPr>
          <w:rFonts w:hint="eastAsia" w:ascii="仿宋" w:hAnsi="仿宋" w:eastAsia="仿宋" w:cs="仿宋"/>
          <w:sz w:val="32"/>
          <w:szCs w:val="32"/>
        </w:rPr>
        <w:t>人</w:t>
      </w:r>
      <w:r>
        <w:rPr>
          <w:rFonts w:hint="eastAsia" w:ascii="仿宋" w:hAnsi="仿宋" w:eastAsia="仿宋" w:cs="仿宋"/>
          <w:sz w:val="32"/>
          <w:szCs w:val="32"/>
          <w:lang w:eastAsia="zh-CN"/>
        </w:rPr>
        <w:t>，目标</w:t>
      </w:r>
      <w:r>
        <w:rPr>
          <w:rFonts w:hint="eastAsia" w:ascii="仿宋" w:hAnsi="仿宋" w:eastAsia="仿宋" w:cs="仿宋"/>
          <w:sz w:val="32"/>
          <w:szCs w:val="32"/>
          <w:lang w:val="en-US" w:eastAsia="zh-CN"/>
        </w:rPr>
        <w:t>已完成</w:t>
      </w:r>
      <w:r>
        <w:rPr>
          <w:rFonts w:hint="eastAsia" w:ascii="仿宋" w:hAnsi="仿宋" w:eastAsia="仿宋" w:cs="仿宋"/>
          <w:sz w:val="32"/>
          <w:szCs w:val="32"/>
        </w:rPr>
        <w:t>。</w:t>
      </w:r>
    </w:p>
    <w:p>
      <w:pPr>
        <w:keepNext w:val="0"/>
        <w:keepLines w:val="0"/>
        <w:pageBreakBefore w:val="0"/>
        <w:widowControl/>
        <w:kinsoku/>
        <w:wordWrap/>
        <w:overflowPunct/>
        <w:topLinePunct w:val="0"/>
        <w:autoSpaceDE/>
        <w:autoSpaceDN/>
        <w:bidi w:val="0"/>
        <w:adjustRightInd/>
        <w:spacing w:line="580" w:lineRule="exact"/>
        <w:ind w:left="0" w:leftChars="0" w:firstLine="640" w:firstLineChars="200"/>
        <w:jc w:val="both"/>
        <w:textAlignment w:val="auto"/>
        <w:rPr>
          <w:rFonts w:ascii="Times New Roman" w:hAnsi="Times New Roman" w:eastAsia="仿宋" w:cs="Times New Roman"/>
          <w:b/>
          <w:bCs/>
          <w:color w:val="222222"/>
          <w:kern w:val="0"/>
          <w:sz w:val="32"/>
          <w:szCs w:val="32"/>
        </w:rPr>
      </w:pPr>
      <w:r>
        <w:rPr>
          <w:rFonts w:hint="eastAsia" w:ascii="Times New Roman" w:hAnsi="Times New Roman" w:eastAsia="仿宋" w:cs="Times New Roman"/>
          <w:b/>
          <w:bCs/>
          <w:color w:val="222222"/>
          <w:kern w:val="0"/>
          <w:sz w:val="32"/>
          <w:szCs w:val="32"/>
        </w:rPr>
        <w:t>2.质量指标</w:t>
      </w:r>
    </w:p>
    <w:p>
      <w:pPr>
        <w:pStyle w:val="3"/>
        <w:keepNext w:val="0"/>
        <w:keepLines w:val="0"/>
        <w:pageBreakBefore w:val="0"/>
        <w:kinsoku/>
        <w:wordWrap/>
        <w:overflowPunct/>
        <w:topLinePunct w:val="0"/>
        <w:autoSpaceDE/>
        <w:autoSpaceDN/>
        <w:bidi w:val="0"/>
        <w:adjustRightInd/>
        <w:spacing w:line="580" w:lineRule="exact"/>
        <w:ind w:left="0" w:leftChars="0"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(1)党建工作考核合格率100%</w:t>
      </w:r>
      <w:r>
        <w:rPr>
          <w:rFonts w:hint="eastAsia" w:ascii="仿宋" w:hAnsi="仿宋" w:eastAsia="仿宋" w:cs="仿宋"/>
          <w:sz w:val="32"/>
          <w:szCs w:val="32"/>
          <w:lang w:eastAsia="zh-CN"/>
        </w:rPr>
        <w:t>，目标</w:t>
      </w:r>
      <w:r>
        <w:rPr>
          <w:rFonts w:hint="eastAsia" w:ascii="仿宋" w:hAnsi="仿宋" w:eastAsia="仿宋" w:cs="仿宋"/>
          <w:sz w:val="32"/>
          <w:szCs w:val="32"/>
          <w:lang w:val="en-US" w:eastAsia="zh-CN"/>
        </w:rPr>
        <w:t>已完成</w:t>
      </w:r>
      <w:r>
        <w:rPr>
          <w:rFonts w:hint="eastAsia" w:ascii="仿宋" w:hAnsi="仿宋" w:eastAsia="仿宋" w:cs="仿宋"/>
          <w:sz w:val="32"/>
          <w:szCs w:val="32"/>
        </w:rPr>
        <w:t>;</w:t>
      </w:r>
    </w:p>
    <w:p>
      <w:pPr>
        <w:keepNext w:val="0"/>
        <w:keepLines w:val="0"/>
        <w:pageBreakBefore w:val="0"/>
        <w:kinsoku/>
        <w:wordWrap/>
        <w:overflowPunct/>
        <w:topLinePunct w:val="0"/>
        <w:autoSpaceDE/>
        <w:autoSpaceDN/>
        <w:bidi w:val="0"/>
        <w:adjustRightInd/>
        <w:spacing w:line="580" w:lineRule="exact"/>
        <w:ind w:left="0" w:leftChars="0"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(2)资金发放准确率100%</w:t>
      </w:r>
      <w:r>
        <w:rPr>
          <w:rFonts w:hint="eastAsia" w:ascii="仿宋" w:hAnsi="仿宋" w:eastAsia="仿宋" w:cs="仿宋"/>
          <w:sz w:val="32"/>
          <w:szCs w:val="32"/>
          <w:lang w:eastAsia="zh-CN"/>
        </w:rPr>
        <w:t>，目标</w:t>
      </w:r>
      <w:r>
        <w:rPr>
          <w:rFonts w:hint="eastAsia" w:ascii="仿宋" w:hAnsi="仿宋" w:eastAsia="仿宋" w:cs="仿宋"/>
          <w:sz w:val="32"/>
          <w:szCs w:val="32"/>
          <w:lang w:val="en-US" w:eastAsia="zh-CN"/>
        </w:rPr>
        <w:t>已完成</w:t>
      </w:r>
      <w:r>
        <w:rPr>
          <w:rFonts w:hint="eastAsia" w:ascii="仿宋" w:hAnsi="仿宋" w:eastAsia="仿宋" w:cs="仿宋"/>
          <w:sz w:val="32"/>
          <w:szCs w:val="32"/>
        </w:rPr>
        <w:t>;</w:t>
      </w:r>
    </w:p>
    <w:p>
      <w:pPr>
        <w:pStyle w:val="3"/>
        <w:keepNext w:val="0"/>
        <w:keepLines w:val="0"/>
        <w:pageBreakBefore w:val="0"/>
        <w:kinsoku/>
        <w:wordWrap/>
        <w:overflowPunct/>
        <w:topLinePunct w:val="0"/>
        <w:autoSpaceDE/>
        <w:autoSpaceDN/>
        <w:bidi w:val="0"/>
        <w:adjustRightInd/>
        <w:spacing w:line="580" w:lineRule="exact"/>
        <w:ind w:left="0" w:leftChars="0"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(3)无障碍家庭改造验收合格率100%</w:t>
      </w:r>
      <w:r>
        <w:rPr>
          <w:rFonts w:hint="eastAsia" w:ascii="仿宋" w:hAnsi="仿宋" w:eastAsia="仿宋" w:cs="仿宋"/>
          <w:sz w:val="32"/>
          <w:szCs w:val="32"/>
          <w:lang w:eastAsia="zh-CN"/>
        </w:rPr>
        <w:t>，目标</w:t>
      </w:r>
      <w:r>
        <w:rPr>
          <w:rFonts w:hint="eastAsia" w:ascii="仿宋" w:hAnsi="仿宋" w:eastAsia="仿宋" w:cs="仿宋"/>
          <w:sz w:val="32"/>
          <w:szCs w:val="32"/>
          <w:lang w:val="en-US" w:eastAsia="zh-CN"/>
        </w:rPr>
        <w:t>已完成</w:t>
      </w:r>
      <w:r>
        <w:rPr>
          <w:rFonts w:hint="eastAsia" w:ascii="仿宋" w:hAnsi="仿宋" w:eastAsia="仿宋" w:cs="仿宋"/>
          <w:sz w:val="32"/>
          <w:szCs w:val="32"/>
        </w:rPr>
        <w:t>；</w:t>
      </w:r>
    </w:p>
    <w:p>
      <w:pPr>
        <w:keepNext w:val="0"/>
        <w:keepLines w:val="0"/>
        <w:pageBreakBefore w:val="0"/>
        <w:kinsoku/>
        <w:wordWrap/>
        <w:overflowPunct/>
        <w:topLinePunct w:val="0"/>
        <w:autoSpaceDE/>
        <w:autoSpaceDN/>
        <w:bidi w:val="0"/>
        <w:adjustRightInd/>
        <w:spacing w:line="580" w:lineRule="exact"/>
        <w:ind w:left="0" w:leftChars="0"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(4)残疾人辅助器具适配率100%</w:t>
      </w:r>
      <w:r>
        <w:rPr>
          <w:rFonts w:hint="eastAsia" w:ascii="仿宋" w:hAnsi="仿宋" w:eastAsia="仿宋" w:cs="仿宋"/>
          <w:sz w:val="32"/>
          <w:szCs w:val="32"/>
          <w:lang w:eastAsia="zh-CN"/>
        </w:rPr>
        <w:t>，目标</w:t>
      </w:r>
      <w:r>
        <w:rPr>
          <w:rFonts w:hint="eastAsia" w:ascii="仿宋" w:hAnsi="仿宋" w:eastAsia="仿宋" w:cs="仿宋"/>
          <w:sz w:val="32"/>
          <w:szCs w:val="32"/>
          <w:lang w:val="en-US" w:eastAsia="zh-CN"/>
        </w:rPr>
        <w:t>已完成</w:t>
      </w:r>
      <w:r>
        <w:rPr>
          <w:rFonts w:hint="eastAsia" w:ascii="仿宋" w:hAnsi="仿宋" w:eastAsia="仿宋" w:cs="仿宋"/>
          <w:sz w:val="32"/>
          <w:szCs w:val="32"/>
        </w:rPr>
        <w:t>。</w:t>
      </w:r>
    </w:p>
    <w:p>
      <w:pPr>
        <w:pStyle w:val="3"/>
        <w:keepNext w:val="0"/>
        <w:keepLines w:val="0"/>
        <w:pageBreakBefore w:val="0"/>
        <w:kinsoku/>
        <w:wordWrap/>
        <w:overflowPunct/>
        <w:topLinePunct w:val="0"/>
        <w:autoSpaceDE/>
        <w:autoSpaceDN/>
        <w:bidi w:val="0"/>
        <w:adjustRightInd/>
        <w:spacing w:line="580" w:lineRule="exact"/>
        <w:ind w:left="0" w:leftChars="0" w:firstLine="640" w:firstLineChars="200"/>
        <w:jc w:val="both"/>
        <w:textAlignment w:val="auto"/>
        <w:rPr>
          <w:rFonts w:ascii="仿宋" w:hAnsi="仿宋" w:eastAsia="仿宋" w:cs="仿宋"/>
          <w:b/>
          <w:bCs/>
          <w:sz w:val="32"/>
          <w:szCs w:val="32"/>
        </w:rPr>
      </w:pPr>
      <w:r>
        <w:rPr>
          <w:rFonts w:hint="eastAsia" w:ascii="仿宋" w:hAnsi="仿宋" w:eastAsia="仿宋" w:cs="仿宋"/>
          <w:b/>
          <w:bCs/>
          <w:sz w:val="32"/>
          <w:szCs w:val="32"/>
        </w:rPr>
        <w:t>3.时效指标</w:t>
      </w:r>
    </w:p>
    <w:p>
      <w:pPr>
        <w:pStyle w:val="3"/>
        <w:keepNext w:val="0"/>
        <w:keepLines w:val="0"/>
        <w:pageBreakBefore w:val="0"/>
        <w:kinsoku/>
        <w:wordWrap/>
        <w:overflowPunct/>
        <w:topLinePunct w:val="0"/>
        <w:autoSpaceDE/>
        <w:autoSpaceDN/>
        <w:bidi w:val="0"/>
        <w:adjustRightInd/>
        <w:spacing w:line="580" w:lineRule="exact"/>
        <w:ind w:left="0" w:leftChars="0"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各项工作及时完成率100%</w:t>
      </w:r>
      <w:r>
        <w:rPr>
          <w:rFonts w:hint="eastAsia" w:ascii="仿宋" w:hAnsi="仿宋" w:eastAsia="仿宋" w:cs="仿宋"/>
          <w:sz w:val="32"/>
          <w:szCs w:val="32"/>
          <w:lang w:eastAsia="zh-CN"/>
        </w:rPr>
        <w:t>，目标</w:t>
      </w:r>
      <w:r>
        <w:rPr>
          <w:rFonts w:hint="eastAsia" w:ascii="仿宋" w:hAnsi="仿宋" w:eastAsia="仿宋" w:cs="仿宋"/>
          <w:sz w:val="32"/>
          <w:szCs w:val="32"/>
          <w:lang w:val="en-US" w:eastAsia="zh-CN"/>
        </w:rPr>
        <w:t>已完成</w:t>
      </w:r>
      <w:r>
        <w:rPr>
          <w:rFonts w:hint="eastAsia" w:ascii="仿宋" w:hAnsi="仿宋" w:eastAsia="仿宋" w:cs="仿宋"/>
          <w:sz w:val="32"/>
          <w:szCs w:val="32"/>
        </w:rPr>
        <w:t>。</w:t>
      </w:r>
    </w:p>
    <w:p>
      <w:pPr>
        <w:pStyle w:val="3"/>
        <w:keepNext w:val="0"/>
        <w:keepLines w:val="0"/>
        <w:pageBreakBefore w:val="0"/>
        <w:kinsoku/>
        <w:wordWrap/>
        <w:overflowPunct/>
        <w:topLinePunct w:val="0"/>
        <w:autoSpaceDE/>
        <w:autoSpaceDN/>
        <w:bidi w:val="0"/>
        <w:adjustRightInd/>
        <w:spacing w:line="580" w:lineRule="exact"/>
        <w:ind w:left="0" w:leftChars="0" w:firstLine="640" w:firstLineChars="200"/>
        <w:jc w:val="both"/>
        <w:textAlignment w:val="auto"/>
        <w:rPr>
          <w:rFonts w:ascii="仿宋" w:hAnsi="仿宋" w:eastAsia="仿宋" w:cs="仿宋"/>
          <w:b/>
          <w:bCs/>
          <w:sz w:val="32"/>
          <w:szCs w:val="32"/>
        </w:rPr>
      </w:pPr>
      <w:r>
        <w:rPr>
          <w:rFonts w:hint="eastAsia" w:ascii="仿宋" w:hAnsi="仿宋" w:eastAsia="仿宋" w:cs="仿宋"/>
          <w:b/>
          <w:bCs/>
          <w:sz w:val="32"/>
          <w:szCs w:val="32"/>
        </w:rPr>
        <w:t>4.成本指标</w:t>
      </w:r>
    </w:p>
    <w:p>
      <w:pPr>
        <w:pStyle w:val="3"/>
        <w:keepNext w:val="0"/>
        <w:keepLines w:val="0"/>
        <w:pageBreakBefore w:val="0"/>
        <w:kinsoku/>
        <w:wordWrap/>
        <w:overflowPunct/>
        <w:topLinePunct w:val="0"/>
        <w:autoSpaceDE/>
        <w:autoSpaceDN/>
        <w:bidi w:val="0"/>
        <w:adjustRightInd/>
        <w:spacing w:line="58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各项支出合理合规，控制在预算额度内</w:t>
      </w:r>
      <w:r>
        <w:rPr>
          <w:rFonts w:hint="eastAsia" w:ascii="仿宋" w:hAnsi="仿宋" w:eastAsia="仿宋" w:cs="仿宋"/>
          <w:sz w:val="32"/>
          <w:szCs w:val="32"/>
          <w:lang w:eastAsia="zh-CN"/>
        </w:rPr>
        <w:t>，目标</w:t>
      </w:r>
      <w:r>
        <w:rPr>
          <w:rFonts w:hint="eastAsia" w:ascii="仿宋" w:hAnsi="仿宋" w:eastAsia="仿宋" w:cs="仿宋"/>
          <w:sz w:val="32"/>
          <w:szCs w:val="32"/>
          <w:lang w:val="en-US" w:eastAsia="zh-CN"/>
        </w:rPr>
        <w:t>已完成</w:t>
      </w:r>
      <w:r>
        <w:rPr>
          <w:rFonts w:hint="eastAsia" w:ascii="仿宋" w:hAnsi="仿宋" w:eastAsia="仿宋" w:cs="仿宋"/>
          <w:sz w:val="32"/>
          <w:szCs w:val="32"/>
        </w:rPr>
        <w:t>。</w:t>
      </w:r>
    </w:p>
    <w:p>
      <w:pPr>
        <w:pStyle w:val="3"/>
        <w:keepNext w:val="0"/>
        <w:keepLines w:val="0"/>
        <w:pageBreakBefore w:val="0"/>
        <w:kinsoku/>
        <w:wordWrap/>
        <w:overflowPunct/>
        <w:topLinePunct w:val="0"/>
        <w:autoSpaceDE/>
        <w:autoSpaceDN/>
        <w:bidi w:val="0"/>
        <w:adjustRightInd/>
        <w:spacing w:line="580" w:lineRule="exact"/>
        <w:ind w:left="0" w:leftChars="0" w:firstLine="640" w:firstLineChars="200"/>
        <w:jc w:val="both"/>
        <w:textAlignment w:val="auto"/>
        <w:rPr>
          <w:b/>
          <w:bCs/>
        </w:rPr>
      </w:pPr>
      <w:r>
        <w:rPr>
          <w:rFonts w:hint="eastAsia" w:ascii="楷体_GB2312" w:hAnsi="楷体_GB2312" w:eastAsia="楷体_GB2312" w:cs="楷体_GB2312"/>
          <w:b/>
          <w:bCs/>
          <w:color w:val="222222"/>
          <w:kern w:val="0"/>
          <w:sz w:val="32"/>
          <w:szCs w:val="32"/>
          <w:lang w:val="en-US" w:eastAsia="zh-CN"/>
        </w:rPr>
        <w:t>（二）部门效益情况</w:t>
      </w:r>
    </w:p>
    <w:p>
      <w:pPr>
        <w:keepNext w:val="0"/>
        <w:keepLines w:val="0"/>
        <w:pageBreakBefore w:val="0"/>
        <w:tabs>
          <w:tab w:val="left" w:pos="400"/>
        </w:tabs>
        <w:kinsoku/>
        <w:wordWrap/>
        <w:overflowPunct/>
        <w:topLinePunct w:val="0"/>
        <w:autoSpaceDE/>
        <w:autoSpaceDN/>
        <w:bidi w:val="0"/>
        <w:adjustRightInd/>
        <w:spacing w:line="580" w:lineRule="exact"/>
        <w:ind w:left="0" w:leftChars="0" w:firstLine="640" w:firstLineChars="200"/>
        <w:jc w:val="both"/>
        <w:textAlignment w:val="auto"/>
        <w:rPr>
          <w:rFonts w:ascii="仿宋" w:hAnsi="仿宋" w:eastAsia="仿宋" w:cs="仿宋"/>
          <w:b/>
          <w:bCs/>
          <w:sz w:val="32"/>
          <w:szCs w:val="32"/>
        </w:rPr>
      </w:pPr>
      <w:r>
        <w:rPr>
          <w:rFonts w:hint="eastAsia" w:ascii="仿宋" w:hAnsi="仿宋" w:eastAsia="仿宋" w:cs="仿宋"/>
          <w:b/>
          <w:bCs/>
          <w:sz w:val="32"/>
          <w:szCs w:val="32"/>
        </w:rPr>
        <w:t>5.社会效益指标</w:t>
      </w:r>
    </w:p>
    <w:p>
      <w:pPr>
        <w:pStyle w:val="3"/>
        <w:keepNext w:val="0"/>
        <w:keepLines w:val="0"/>
        <w:pageBreakBefore w:val="0"/>
        <w:kinsoku/>
        <w:wordWrap/>
        <w:overflowPunct/>
        <w:topLinePunct w:val="0"/>
        <w:autoSpaceDE/>
        <w:autoSpaceDN/>
        <w:bidi w:val="0"/>
        <w:adjustRightInd/>
        <w:spacing w:line="580" w:lineRule="exact"/>
        <w:ind w:left="0" w:leftChars="0" w:firstLine="640" w:firstLineChars="200"/>
        <w:jc w:val="both"/>
        <w:textAlignment w:val="auto"/>
        <w:rPr>
          <w:rFonts w:ascii="仿宋" w:hAnsi="仿宋" w:eastAsia="仿宋" w:cs="仿宋"/>
          <w:sz w:val="32"/>
          <w:szCs w:val="32"/>
        </w:rPr>
      </w:pPr>
      <w:r>
        <w:rPr>
          <w:rFonts w:hint="eastAsia" w:ascii="仿宋" w:hAnsi="仿宋" w:eastAsia="仿宋" w:cs="仿宋"/>
          <w:sz w:val="32"/>
          <w:szCs w:val="32"/>
          <w:lang w:eastAsia="zh-CN"/>
        </w:rPr>
        <w:t>通过</w:t>
      </w:r>
      <w:r>
        <w:rPr>
          <w:rFonts w:hint="eastAsia" w:ascii="仿宋" w:hAnsi="仿宋" w:eastAsia="仿宋" w:cs="仿宋"/>
          <w:sz w:val="32"/>
          <w:szCs w:val="32"/>
        </w:rPr>
        <w:t>实现残疾人证办理“一件事一次办”</w:t>
      </w:r>
      <w:r>
        <w:rPr>
          <w:rFonts w:hint="eastAsia" w:ascii="仿宋" w:hAnsi="仿宋" w:eastAsia="仿宋" w:cs="仿宋"/>
          <w:sz w:val="32"/>
          <w:szCs w:val="32"/>
          <w:lang w:eastAsia="zh-CN"/>
        </w:rPr>
        <w:t>，开展</w:t>
      </w:r>
      <w:r>
        <w:rPr>
          <w:rFonts w:hint="eastAsia" w:ascii="仿宋" w:hAnsi="仿宋" w:eastAsia="仿宋" w:cs="仿宋"/>
          <w:sz w:val="32"/>
          <w:szCs w:val="32"/>
        </w:rPr>
        <w:t>残疾人无障碍改造工作</w:t>
      </w:r>
      <w:r>
        <w:rPr>
          <w:rFonts w:hint="eastAsia" w:ascii="仿宋" w:hAnsi="仿宋" w:eastAsia="仿宋" w:cs="仿宋"/>
          <w:sz w:val="32"/>
          <w:szCs w:val="32"/>
          <w:lang w:eastAsia="zh-CN"/>
        </w:rPr>
        <w:t>，做好</w:t>
      </w:r>
      <w:r>
        <w:rPr>
          <w:rFonts w:hint="eastAsia" w:ascii="仿宋" w:hAnsi="仿宋" w:eastAsia="仿宋" w:cs="仿宋"/>
          <w:sz w:val="32"/>
          <w:szCs w:val="32"/>
        </w:rPr>
        <w:t>残疾人机动轮椅车燃油补贴工作</w:t>
      </w:r>
      <w:r>
        <w:rPr>
          <w:rFonts w:hint="eastAsia" w:ascii="仿宋" w:hAnsi="仿宋" w:eastAsia="仿宋" w:cs="仿宋"/>
          <w:sz w:val="32"/>
          <w:szCs w:val="32"/>
          <w:lang w:eastAsia="zh-CN"/>
        </w:rPr>
        <w:t>，</w:t>
      </w:r>
      <w:r>
        <w:rPr>
          <w:rFonts w:hint="eastAsia" w:ascii="仿宋" w:hAnsi="仿宋" w:eastAsia="仿宋" w:cs="仿宋"/>
          <w:sz w:val="32"/>
          <w:szCs w:val="32"/>
        </w:rPr>
        <w:t>狠抓残疾人就业工作</w:t>
      </w:r>
      <w:r>
        <w:rPr>
          <w:rFonts w:hint="eastAsia" w:ascii="仿宋" w:hAnsi="仿宋" w:eastAsia="仿宋" w:cs="仿宋"/>
          <w:sz w:val="32"/>
          <w:szCs w:val="32"/>
          <w:lang w:eastAsia="zh-CN"/>
        </w:rPr>
        <w:t>以及</w:t>
      </w:r>
      <w:r>
        <w:rPr>
          <w:rFonts w:hint="eastAsia" w:ascii="仿宋" w:hAnsi="仿宋" w:eastAsia="仿宋" w:cs="仿宋"/>
          <w:sz w:val="32"/>
          <w:szCs w:val="32"/>
        </w:rPr>
        <w:t>残疾人职业培训</w:t>
      </w:r>
      <w:r>
        <w:rPr>
          <w:rFonts w:hint="eastAsia" w:ascii="仿宋" w:hAnsi="仿宋" w:eastAsia="仿宋" w:cs="仿宋"/>
          <w:sz w:val="32"/>
          <w:szCs w:val="32"/>
          <w:lang w:eastAsia="zh-CN"/>
        </w:rPr>
        <w:t>等</w:t>
      </w:r>
      <w:r>
        <w:rPr>
          <w:rFonts w:hint="eastAsia" w:ascii="仿宋" w:hAnsi="仿宋" w:eastAsia="仿宋" w:cs="仿宋"/>
          <w:sz w:val="32"/>
          <w:szCs w:val="32"/>
        </w:rPr>
        <w:t>工作</w:t>
      </w:r>
      <w:r>
        <w:rPr>
          <w:rFonts w:hint="eastAsia" w:ascii="仿宋" w:hAnsi="仿宋" w:eastAsia="仿宋" w:cs="仿宋"/>
          <w:sz w:val="32"/>
          <w:szCs w:val="32"/>
          <w:lang w:eastAsia="zh-CN"/>
        </w:rPr>
        <w:t>，</w:t>
      </w:r>
      <w:r>
        <w:rPr>
          <w:rFonts w:hint="eastAsia" w:ascii="仿宋" w:hAnsi="仿宋" w:eastAsia="仿宋" w:cs="仿宋"/>
          <w:sz w:val="32"/>
          <w:szCs w:val="32"/>
        </w:rPr>
        <w:t>让全区残疾人共享改革发展成果，提高</w:t>
      </w:r>
      <w:r>
        <w:rPr>
          <w:rFonts w:hint="eastAsia" w:ascii="仿宋" w:hAnsi="仿宋" w:eastAsia="仿宋" w:cs="仿宋"/>
          <w:sz w:val="32"/>
          <w:szCs w:val="32"/>
          <w:lang w:eastAsia="zh-CN"/>
        </w:rPr>
        <w:t>了</w:t>
      </w:r>
      <w:r>
        <w:rPr>
          <w:rFonts w:hint="eastAsia" w:ascii="仿宋" w:hAnsi="仿宋" w:eastAsia="仿宋" w:cs="仿宋"/>
          <w:sz w:val="32"/>
          <w:szCs w:val="32"/>
        </w:rPr>
        <w:t>残疾人生活质量</w:t>
      </w:r>
      <w:r>
        <w:rPr>
          <w:rFonts w:hint="eastAsia" w:ascii="仿宋" w:hAnsi="仿宋" w:eastAsia="仿宋" w:cs="仿宋"/>
          <w:sz w:val="32"/>
          <w:szCs w:val="32"/>
          <w:lang w:eastAsia="zh-CN"/>
        </w:rPr>
        <w:t>，目标</w:t>
      </w:r>
      <w:r>
        <w:rPr>
          <w:rFonts w:hint="eastAsia" w:ascii="仿宋" w:hAnsi="仿宋" w:eastAsia="仿宋" w:cs="仿宋"/>
          <w:sz w:val="32"/>
          <w:szCs w:val="32"/>
          <w:lang w:val="en-US" w:eastAsia="zh-CN"/>
        </w:rPr>
        <w:t>已完成</w:t>
      </w:r>
      <w:r>
        <w:rPr>
          <w:rFonts w:hint="eastAsia" w:ascii="仿宋" w:hAnsi="仿宋" w:eastAsia="仿宋" w:cs="仿宋"/>
          <w:sz w:val="32"/>
          <w:szCs w:val="32"/>
        </w:rPr>
        <w:t>。</w:t>
      </w:r>
    </w:p>
    <w:p>
      <w:pPr>
        <w:keepNext w:val="0"/>
        <w:keepLines w:val="0"/>
        <w:pageBreakBefore w:val="0"/>
        <w:tabs>
          <w:tab w:val="left" w:pos="400"/>
        </w:tabs>
        <w:kinsoku/>
        <w:wordWrap/>
        <w:overflowPunct/>
        <w:topLinePunct w:val="0"/>
        <w:autoSpaceDE/>
        <w:autoSpaceDN/>
        <w:bidi w:val="0"/>
        <w:adjustRightInd/>
        <w:spacing w:line="580" w:lineRule="exact"/>
        <w:ind w:left="0" w:leftChars="0" w:firstLine="640" w:firstLineChars="200"/>
        <w:jc w:val="both"/>
        <w:textAlignment w:val="auto"/>
        <w:rPr>
          <w:rFonts w:ascii="仿宋" w:hAnsi="仿宋" w:eastAsia="仿宋" w:cs="仿宋"/>
          <w:b/>
          <w:bCs/>
          <w:sz w:val="32"/>
          <w:szCs w:val="32"/>
        </w:rPr>
      </w:pPr>
      <w:r>
        <w:rPr>
          <w:rFonts w:hint="eastAsia" w:ascii="仿宋" w:hAnsi="仿宋" w:eastAsia="仿宋" w:cs="仿宋"/>
          <w:b/>
          <w:bCs/>
          <w:sz w:val="32"/>
          <w:szCs w:val="32"/>
        </w:rPr>
        <w:t>6.满意度指标</w:t>
      </w:r>
    </w:p>
    <w:p>
      <w:pPr>
        <w:keepNext w:val="0"/>
        <w:keepLines w:val="0"/>
        <w:pageBreakBefore w:val="0"/>
        <w:kinsoku/>
        <w:wordWrap/>
        <w:overflowPunct/>
        <w:topLinePunct w:val="0"/>
        <w:autoSpaceDE/>
        <w:autoSpaceDN/>
        <w:bidi w:val="0"/>
        <w:adjustRightInd/>
        <w:spacing w:line="580" w:lineRule="exact"/>
        <w:ind w:left="0" w:leftChars="0"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社会公众满意度90%</w:t>
      </w:r>
      <w:r>
        <w:rPr>
          <w:rFonts w:hint="eastAsia" w:ascii="仿宋" w:hAnsi="仿宋" w:eastAsia="仿宋" w:cs="仿宋"/>
          <w:sz w:val="32"/>
          <w:szCs w:val="32"/>
          <w:lang w:eastAsia="zh-CN"/>
        </w:rPr>
        <w:t>，目标</w:t>
      </w:r>
      <w:r>
        <w:rPr>
          <w:rFonts w:hint="eastAsia" w:ascii="仿宋" w:hAnsi="仿宋" w:eastAsia="仿宋" w:cs="仿宋"/>
          <w:sz w:val="32"/>
          <w:szCs w:val="32"/>
          <w:lang w:val="en-US" w:eastAsia="zh-CN"/>
        </w:rPr>
        <w:t>已完成</w:t>
      </w:r>
      <w:r>
        <w:rPr>
          <w:rFonts w:hint="eastAsia" w:ascii="仿宋" w:hAnsi="仿宋" w:eastAsia="仿宋" w:cs="仿宋"/>
          <w:sz w:val="32"/>
          <w:szCs w:val="32"/>
        </w:rPr>
        <w:t>。</w:t>
      </w:r>
    </w:p>
    <w:p>
      <w:pPr>
        <w:pStyle w:val="3"/>
        <w:keepNext w:val="0"/>
        <w:keepLines w:val="0"/>
        <w:pageBreakBefore w:val="0"/>
        <w:kinsoku/>
        <w:wordWrap/>
        <w:overflowPunct/>
        <w:topLinePunct w:val="0"/>
        <w:autoSpaceDE/>
        <w:autoSpaceDN/>
        <w:bidi w:val="0"/>
        <w:adjustRightInd/>
        <w:snapToGrid/>
        <w:spacing w:line="580" w:lineRule="exact"/>
        <w:ind w:left="0" w:leftChars="0" w:firstLine="640" w:firstLineChars="200"/>
        <w:textAlignment w:val="auto"/>
        <w:rPr>
          <w:rFonts w:ascii="黑体" w:hAnsi="黑体" w:eastAsia="黑体" w:cs="黑体"/>
          <w:sz w:val="32"/>
          <w:szCs w:val="32"/>
        </w:rPr>
      </w:pPr>
      <w:r>
        <w:rPr>
          <w:rFonts w:hint="eastAsia" w:ascii="黑体" w:hAnsi="黑体" w:eastAsia="黑体" w:cs="黑体"/>
          <w:sz w:val="32"/>
          <w:szCs w:val="32"/>
        </w:rPr>
        <w:t>七、存在的问题及原因分析</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eastAsia="zh-CN"/>
        </w:rPr>
      </w:pPr>
      <w:r>
        <w:rPr>
          <w:rFonts w:hint="eastAsia" w:ascii="楷体" w:hAnsi="楷体" w:eastAsia="楷体" w:cs="楷体"/>
          <w:b/>
          <w:bCs/>
          <w:sz w:val="32"/>
          <w:szCs w:val="32"/>
          <w:lang w:eastAsia="zh-CN"/>
        </w:rPr>
        <w:t>（一）预算执行存在偏差</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因部分工作是年中或年末根据上级残联和区里要求开展，未纳入年初预算，另外还有部分不可预见经费的追加，无法纳入预算，导致预算执行存在偏差。</w:t>
      </w:r>
    </w:p>
    <w:p>
      <w:pPr>
        <w:keepNext w:val="0"/>
        <w:keepLines w:val="0"/>
        <w:pageBreakBefore w:val="0"/>
        <w:widowControl/>
        <w:numPr>
          <w:ilvl w:val="0"/>
          <w:numId w:val="2"/>
        </w:numPr>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服务能力与服务需求存在差距</w:t>
      </w:r>
      <w:r>
        <w:rPr>
          <w:rFonts w:hint="eastAsia" w:ascii="楷体" w:hAnsi="楷体" w:eastAsia="楷体" w:cs="楷体"/>
          <w:b/>
          <w:bCs/>
          <w:sz w:val="32"/>
          <w:szCs w:val="32"/>
          <w:lang w:val="en-US" w:eastAsia="zh-CN"/>
        </w:rPr>
        <w:t xml:space="preserve">   </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eastAsia="zh-CN"/>
        </w:rPr>
      </w:pPr>
      <w:r>
        <w:rPr>
          <w:rFonts w:hint="eastAsia" w:ascii="楷体" w:hAnsi="楷体" w:eastAsia="楷体" w:cs="楷体"/>
          <w:b/>
          <w:bCs/>
          <w:sz w:val="32"/>
          <w:szCs w:val="32"/>
          <w:lang w:val="en-US" w:eastAsia="zh-CN"/>
        </w:rPr>
        <w:t xml:space="preserve">  </w:t>
      </w:r>
      <w:r>
        <w:rPr>
          <w:rFonts w:hint="eastAsia" w:ascii="仿宋" w:hAnsi="仿宋" w:eastAsia="仿宋" w:cs="仿宋"/>
          <w:b w:val="0"/>
          <w:bCs w:val="0"/>
          <w:sz w:val="32"/>
          <w:szCs w:val="32"/>
          <w:lang w:val="en-US" w:eastAsia="zh-CN"/>
        </w:rPr>
        <w:t>随着</w:t>
      </w:r>
      <w:r>
        <w:rPr>
          <w:rFonts w:hint="eastAsia" w:ascii="仿宋" w:hAnsi="仿宋" w:eastAsia="仿宋" w:cs="仿宋"/>
          <w:sz w:val="32"/>
          <w:szCs w:val="32"/>
          <w:lang w:eastAsia="zh-CN"/>
        </w:rPr>
        <w:t>残疾人权利意识的增加，残疾人服务需求量增加，残联力不从心，在为残疾人提供康复、就业、教育等方面的服务时，由于资金、人员、设施等原因，存在服务能力不足的问题，无法满足残疾人的全部需求。</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八、</w:t>
      </w:r>
      <w:r>
        <w:rPr>
          <w:rFonts w:hint="eastAsia" w:ascii="Times New Roman" w:hAnsi="Times New Roman" w:eastAsia="黑体" w:cs="Times New Roman"/>
          <w:color w:val="000000"/>
          <w:sz w:val="32"/>
          <w:szCs w:val="32"/>
        </w:rPr>
        <w:t>下一步改进措施</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color w:val="000000"/>
          <w:sz w:val="32"/>
          <w:szCs w:val="32"/>
          <w:shd w:val="clear" w:color="auto" w:fill="FFFFFF"/>
        </w:rPr>
      </w:pPr>
      <w:r>
        <w:rPr>
          <w:rFonts w:hint="eastAsia" w:ascii="楷体" w:hAnsi="楷体" w:eastAsia="楷体" w:cs="楷体"/>
          <w:b/>
          <w:bCs/>
          <w:sz w:val="32"/>
          <w:szCs w:val="32"/>
          <w:lang w:eastAsia="zh-CN"/>
        </w:rPr>
        <w:t>（一）细化预算编制工作</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仿宋" w:hAnsi="仿宋" w:eastAsia="仿宋" w:cs="Times New Roman"/>
          <w:color w:val="000000"/>
          <w:sz w:val="32"/>
          <w:szCs w:val="32"/>
        </w:rPr>
      </w:pPr>
      <w:r>
        <w:rPr>
          <w:rFonts w:hint="eastAsia" w:ascii="仿宋" w:hAnsi="仿宋" w:eastAsia="仿宋" w:cs="仿宋"/>
          <w:sz w:val="32"/>
          <w:szCs w:val="32"/>
        </w:rPr>
        <w:t>科学合理编制预算，严格执行预算。要按照《预算法》及其实施条例的相关规定，参考上一年的预算执行情况和年度的收支预测、部门重点工作等科学编制预算。同时严格预算执行，提高资金使用效率。</w:t>
      </w:r>
    </w:p>
    <w:p>
      <w:pPr>
        <w:keepNext w:val="0"/>
        <w:keepLines w:val="0"/>
        <w:pageBreakBefore w:val="0"/>
        <w:numPr>
          <w:numId w:val="0"/>
        </w:numPr>
        <w:kinsoku/>
        <w:wordWrap/>
        <w:overflowPunct/>
        <w:topLinePunct w:val="0"/>
        <w:autoSpaceDE/>
        <w:autoSpaceDN/>
        <w:bidi w:val="0"/>
        <w:adjustRightInd/>
        <w:snapToGrid/>
        <w:spacing w:line="580" w:lineRule="exact"/>
        <w:ind w:leftChars="200"/>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（二）提升服务能力</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通过争取更多的资金和人员，增加设施设备等，提升服务能力，尽量满足残疾人的合理需求。</w:t>
      </w:r>
    </w:p>
    <w:p>
      <w:pPr>
        <w:keepNext w:val="0"/>
        <w:keepLines w:val="0"/>
        <w:pageBreakBefore w:val="0"/>
        <w:widowControl/>
        <w:kinsoku/>
        <w:wordWrap/>
        <w:overflowPunct/>
        <w:topLinePunct w:val="0"/>
        <w:autoSpaceDE/>
        <w:autoSpaceDN/>
        <w:bidi w:val="0"/>
        <w:adjustRightInd/>
        <w:snapToGrid/>
        <w:spacing w:line="580" w:lineRule="exact"/>
        <w:ind w:left="0" w:leftChars="0" w:firstLine="0" w:firstLineChars="0"/>
        <w:jc w:val="right"/>
        <w:textAlignment w:val="auto"/>
        <w:rPr>
          <w:rFonts w:ascii="仿宋" w:hAnsi="仿宋" w:eastAsia="仿宋" w:cs="Times New Roman"/>
          <w:color w:val="000000"/>
          <w:sz w:val="32"/>
          <w:szCs w:val="32"/>
        </w:rPr>
      </w:pPr>
      <w:r>
        <w:rPr>
          <w:rFonts w:hint="eastAsia" w:ascii="仿宋" w:hAnsi="仿宋" w:eastAsia="仿宋" w:cs="Times New Roman"/>
          <w:color w:val="000000"/>
          <w:sz w:val="32"/>
          <w:szCs w:val="32"/>
        </w:rPr>
        <w:t>常德市武陵区残疾人联合会</w:t>
      </w:r>
    </w:p>
    <w:p>
      <w:pPr>
        <w:keepNext w:val="0"/>
        <w:keepLines w:val="0"/>
        <w:pageBreakBefore w:val="0"/>
        <w:widowControl/>
        <w:kinsoku/>
        <w:wordWrap/>
        <w:overflowPunct/>
        <w:topLinePunct w:val="0"/>
        <w:autoSpaceDE/>
        <w:autoSpaceDN/>
        <w:bidi w:val="0"/>
        <w:adjustRightInd/>
        <w:snapToGrid/>
        <w:spacing w:line="580" w:lineRule="exact"/>
        <w:ind w:left="0" w:leftChars="0" w:right="640" w:rightChars="200" w:firstLine="0" w:firstLineChars="0"/>
        <w:jc w:val="right"/>
        <w:textAlignment w:val="auto"/>
        <w:rPr>
          <w:rFonts w:ascii="仿宋" w:hAnsi="仿宋" w:eastAsia="仿宋" w:cs="Times New Roman"/>
          <w:color w:val="000000"/>
          <w:sz w:val="32"/>
          <w:szCs w:val="32"/>
        </w:rPr>
      </w:pPr>
      <w:r>
        <w:rPr>
          <w:rFonts w:hint="eastAsia" w:ascii="仿宋" w:hAnsi="仿宋" w:eastAsia="仿宋" w:cs="Times New Roman"/>
          <w:color w:val="000000"/>
          <w:sz w:val="32"/>
          <w:szCs w:val="32"/>
        </w:rPr>
        <w:t>2</w:t>
      </w:r>
      <w:r>
        <w:rPr>
          <w:rFonts w:ascii="仿宋" w:hAnsi="仿宋" w:eastAsia="仿宋" w:cs="Times New Roman"/>
          <w:color w:val="000000"/>
          <w:sz w:val="32"/>
          <w:szCs w:val="32"/>
        </w:rPr>
        <w:t>02</w:t>
      </w:r>
      <w:r>
        <w:rPr>
          <w:rFonts w:hint="eastAsia" w:ascii="仿宋" w:hAnsi="仿宋" w:eastAsia="仿宋" w:cs="Times New Roman"/>
          <w:color w:val="000000"/>
          <w:sz w:val="32"/>
          <w:szCs w:val="32"/>
        </w:rPr>
        <w:t>4</w:t>
      </w:r>
      <w:r>
        <w:rPr>
          <w:rFonts w:ascii="仿宋" w:hAnsi="仿宋" w:eastAsia="仿宋" w:cs="Times New Roman"/>
          <w:color w:val="000000"/>
          <w:sz w:val="32"/>
          <w:szCs w:val="32"/>
        </w:rPr>
        <w:t>年</w:t>
      </w:r>
      <w:r>
        <w:rPr>
          <w:rFonts w:hint="eastAsia" w:ascii="仿宋" w:hAnsi="仿宋" w:eastAsia="仿宋" w:cs="Times New Roman"/>
          <w:color w:val="000000"/>
          <w:sz w:val="32"/>
          <w:szCs w:val="32"/>
        </w:rPr>
        <w:t>8月25</w:t>
      </w:r>
      <w:r>
        <w:rPr>
          <w:rFonts w:ascii="仿宋" w:hAnsi="仿宋" w:eastAsia="仿宋" w:cs="Times New Roman"/>
          <w:color w:val="000000"/>
          <w:sz w:val="32"/>
          <w:szCs w:val="32"/>
        </w:rPr>
        <w:t>日</w:t>
      </w:r>
    </w:p>
    <w:tbl>
      <w:tblPr>
        <w:tblStyle w:val="5"/>
        <w:tblW w:w="10213" w:type="dxa"/>
        <w:jc w:val="center"/>
        <w:tblLayout w:type="autofit"/>
        <w:tblCellMar>
          <w:top w:w="0" w:type="dxa"/>
          <w:left w:w="108" w:type="dxa"/>
          <w:bottom w:w="0" w:type="dxa"/>
          <w:right w:w="108" w:type="dxa"/>
        </w:tblCellMar>
      </w:tblPr>
      <w:tblGrid>
        <w:gridCol w:w="731"/>
        <w:gridCol w:w="638"/>
        <w:gridCol w:w="548"/>
        <w:gridCol w:w="676"/>
        <w:gridCol w:w="516"/>
        <w:gridCol w:w="3342"/>
        <w:gridCol w:w="3036"/>
        <w:gridCol w:w="726"/>
      </w:tblGrid>
      <w:tr>
        <w:tblPrEx>
          <w:tblCellMar>
            <w:top w:w="0" w:type="dxa"/>
            <w:left w:w="108" w:type="dxa"/>
            <w:bottom w:w="0" w:type="dxa"/>
            <w:right w:w="108" w:type="dxa"/>
          </w:tblCellMar>
        </w:tblPrEx>
        <w:trPr>
          <w:trHeight w:val="795" w:hRule="atLeast"/>
          <w:jc w:val="center"/>
        </w:trPr>
        <w:tc>
          <w:tcPr>
            <w:tcW w:w="10213" w:type="dxa"/>
            <w:gridSpan w:val="8"/>
            <w:tcBorders>
              <w:top w:val="nil"/>
              <w:left w:val="nil"/>
              <w:bottom w:val="nil"/>
              <w:right w:val="nil"/>
            </w:tcBorders>
            <w:noWrap/>
            <w:vAlign w:val="center"/>
          </w:tcPr>
          <w:p>
            <w:pPr>
              <w:widowControl/>
              <w:jc w:val="center"/>
              <w:rPr>
                <w:rFonts w:hint="default" w:ascii="Times New Roman" w:hAnsi="Times New Roman" w:cs="Times New Roman"/>
                <w:kern w:val="0"/>
                <w:sz w:val="24"/>
                <w:szCs w:val="24"/>
              </w:rPr>
            </w:pPr>
            <w:r>
              <w:rPr>
                <w:rFonts w:hint="default" w:ascii="Times New Roman" w:hAnsi="Times New Roman" w:eastAsia="方正小标宋简体" w:cs="Times New Roman"/>
                <w:kern w:val="0"/>
                <w:sz w:val="32"/>
                <w:szCs w:val="32"/>
              </w:rPr>
              <w:t>部门整体支出绩效评价指标体系</w:t>
            </w:r>
          </w:p>
        </w:tc>
      </w:tr>
      <w:tr>
        <w:tblPrEx>
          <w:tblCellMar>
            <w:top w:w="0" w:type="dxa"/>
            <w:left w:w="108" w:type="dxa"/>
            <w:bottom w:w="0" w:type="dxa"/>
            <w:right w:w="108" w:type="dxa"/>
          </w:tblCellMar>
        </w:tblPrEx>
        <w:trPr>
          <w:trHeight w:val="420" w:hRule="atLeast"/>
          <w:jc w:val="center"/>
        </w:trPr>
        <w:tc>
          <w:tcPr>
            <w:tcW w:w="731" w:type="dxa"/>
            <w:tcBorders>
              <w:top w:val="nil"/>
              <w:left w:val="nil"/>
              <w:bottom w:val="single" w:color="auto" w:sz="4" w:space="0"/>
              <w:right w:val="nil"/>
            </w:tcBorders>
            <w:noWrap/>
            <w:vAlign w:val="center"/>
          </w:tcPr>
          <w:p>
            <w:pPr>
              <w:widowControl/>
              <w:jc w:val="center"/>
              <w:rPr>
                <w:rFonts w:hint="default" w:ascii="Times New Roman" w:hAnsi="Times New Roman" w:cs="Times New Roman"/>
                <w:kern w:val="0"/>
                <w:sz w:val="48"/>
                <w:szCs w:val="48"/>
              </w:rPr>
            </w:pPr>
          </w:p>
        </w:tc>
        <w:tc>
          <w:tcPr>
            <w:tcW w:w="638" w:type="dxa"/>
            <w:tcBorders>
              <w:top w:val="nil"/>
              <w:left w:val="nil"/>
              <w:bottom w:val="single" w:color="auto" w:sz="4" w:space="0"/>
              <w:right w:val="nil"/>
            </w:tcBorders>
            <w:noWrap/>
            <w:vAlign w:val="center"/>
          </w:tcPr>
          <w:p>
            <w:pPr>
              <w:widowControl/>
              <w:jc w:val="center"/>
              <w:rPr>
                <w:rFonts w:hint="default" w:ascii="Times New Roman" w:hAnsi="Times New Roman" w:cs="Times New Roman"/>
                <w:kern w:val="0"/>
                <w:sz w:val="48"/>
                <w:szCs w:val="48"/>
              </w:rPr>
            </w:pPr>
          </w:p>
        </w:tc>
        <w:tc>
          <w:tcPr>
            <w:tcW w:w="548" w:type="dxa"/>
            <w:tcBorders>
              <w:top w:val="nil"/>
              <w:left w:val="nil"/>
              <w:bottom w:val="single" w:color="auto" w:sz="4" w:space="0"/>
              <w:right w:val="nil"/>
            </w:tcBorders>
            <w:noWrap/>
            <w:vAlign w:val="center"/>
          </w:tcPr>
          <w:p>
            <w:pPr>
              <w:widowControl/>
              <w:jc w:val="center"/>
              <w:rPr>
                <w:rFonts w:hint="default" w:ascii="Times New Roman" w:hAnsi="Times New Roman" w:cs="Times New Roman"/>
                <w:kern w:val="0"/>
                <w:sz w:val="48"/>
                <w:szCs w:val="48"/>
              </w:rPr>
            </w:pPr>
          </w:p>
        </w:tc>
        <w:tc>
          <w:tcPr>
            <w:tcW w:w="676" w:type="dxa"/>
            <w:tcBorders>
              <w:top w:val="nil"/>
              <w:left w:val="nil"/>
              <w:bottom w:val="single" w:color="auto" w:sz="4" w:space="0"/>
              <w:right w:val="nil"/>
            </w:tcBorders>
            <w:noWrap/>
            <w:vAlign w:val="center"/>
          </w:tcPr>
          <w:p>
            <w:pPr>
              <w:widowControl/>
              <w:jc w:val="center"/>
              <w:rPr>
                <w:rFonts w:hint="default" w:ascii="Times New Roman" w:hAnsi="Times New Roman" w:cs="Times New Roman"/>
                <w:kern w:val="0"/>
                <w:sz w:val="48"/>
                <w:szCs w:val="48"/>
              </w:rPr>
            </w:pPr>
          </w:p>
        </w:tc>
        <w:tc>
          <w:tcPr>
            <w:tcW w:w="516" w:type="dxa"/>
            <w:tcBorders>
              <w:top w:val="nil"/>
              <w:left w:val="nil"/>
              <w:bottom w:val="single" w:color="auto" w:sz="4" w:space="0"/>
              <w:right w:val="nil"/>
            </w:tcBorders>
            <w:noWrap/>
            <w:vAlign w:val="center"/>
          </w:tcPr>
          <w:p>
            <w:pPr>
              <w:widowControl/>
              <w:jc w:val="center"/>
              <w:rPr>
                <w:rFonts w:hint="default" w:ascii="Times New Roman" w:hAnsi="Times New Roman" w:cs="Times New Roman"/>
                <w:kern w:val="0"/>
                <w:sz w:val="48"/>
                <w:szCs w:val="48"/>
              </w:rPr>
            </w:pPr>
          </w:p>
        </w:tc>
        <w:tc>
          <w:tcPr>
            <w:tcW w:w="3342" w:type="dxa"/>
            <w:tcBorders>
              <w:top w:val="nil"/>
              <w:left w:val="nil"/>
              <w:bottom w:val="single" w:color="auto" w:sz="4" w:space="0"/>
              <w:right w:val="nil"/>
            </w:tcBorders>
            <w:noWrap/>
            <w:vAlign w:val="center"/>
          </w:tcPr>
          <w:p>
            <w:pPr>
              <w:widowControl/>
              <w:jc w:val="center"/>
              <w:rPr>
                <w:rFonts w:hint="default" w:ascii="Times New Roman" w:hAnsi="Times New Roman" w:cs="Times New Roman"/>
                <w:kern w:val="0"/>
                <w:sz w:val="48"/>
                <w:szCs w:val="48"/>
              </w:rPr>
            </w:pPr>
          </w:p>
        </w:tc>
        <w:tc>
          <w:tcPr>
            <w:tcW w:w="3036" w:type="dxa"/>
            <w:tcBorders>
              <w:top w:val="nil"/>
              <w:left w:val="nil"/>
              <w:bottom w:val="single" w:color="auto" w:sz="4" w:space="0"/>
              <w:right w:val="nil"/>
            </w:tcBorders>
            <w:noWrap/>
            <w:vAlign w:val="center"/>
          </w:tcPr>
          <w:p>
            <w:pPr>
              <w:widowControl/>
              <w:jc w:val="right"/>
              <w:rPr>
                <w:rFonts w:hint="default" w:ascii="Times New Roman" w:hAnsi="Times New Roman" w:cs="Times New Roman"/>
                <w:kern w:val="0"/>
                <w:sz w:val="20"/>
                <w:szCs w:val="20"/>
              </w:rPr>
            </w:pPr>
          </w:p>
        </w:tc>
        <w:tc>
          <w:tcPr>
            <w:tcW w:w="726" w:type="dxa"/>
            <w:tcBorders>
              <w:top w:val="nil"/>
              <w:left w:val="nil"/>
              <w:bottom w:val="single" w:color="auto" w:sz="4" w:space="0"/>
              <w:right w:val="nil"/>
            </w:tcBorders>
            <w:noWrap/>
            <w:vAlign w:val="center"/>
          </w:tcPr>
          <w:p>
            <w:pPr>
              <w:widowControl/>
              <w:jc w:val="left"/>
              <w:rPr>
                <w:rFonts w:hint="default" w:ascii="Times New Roman" w:hAnsi="Times New Roman" w:cs="Times New Roman"/>
                <w:kern w:val="0"/>
                <w:sz w:val="24"/>
                <w:szCs w:val="24"/>
              </w:rPr>
            </w:pPr>
          </w:p>
        </w:tc>
      </w:tr>
      <w:tr>
        <w:tblPrEx>
          <w:tblCellMar>
            <w:top w:w="0" w:type="dxa"/>
            <w:left w:w="108" w:type="dxa"/>
            <w:bottom w:w="0" w:type="dxa"/>
            <w:right w:w="108" w:type="dxa"/>
          </w:tblCellMar>
        </w:tblPrEx>
        <w:trPr>
          <w:trHeight w:val="660" w:hRule="atLeast"/>
          <w:jc w:val="center"/>
        </w:trPr>
        <w:tc>
          <w:tcPr>
            <w:tcW w:w="731"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一级</w:t>
            </w:r>
            <w:r>
              <w:rPr>
                <w:rFonts w:hint="default" w:ascii="Times New Roman" w:hAnsi="Times New Roman" w:eastAsia="黑体" w:cs="Times New Roman"/>
                <w:kern w:val="0"/>
                <w:sz w:val="20"/>
                <w:szCs w:val="20"/>
              </w:rPr>
              <w:br w:type="textWrapping"/>
            </w:r>
            <w:r>
              <w:rPr>
                <w:rFonts w:hint="default" w:ascii="Times New Roman" w:hAnsi="Times New Roman" w:eastAsia="黑体" w:cs="Times New Roman"/>
                <w:kern w:val="0"/>
                <w:sz w:val="20"/>
                <w:szCs w:val="20"/>
              </w:rPr>
              <w:t>指标</w:t>
            </w:r>
          </w:p>
        </w:tc>
        <w:tc>
          <w:tcPr>
            <w:tcW w:w="638"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二级</w:t>
            </w:r>
            <w:r>
              <w:rPr>
                <w:rFonts w:hint="default" w:ascii="Times New Roman" w:hAnsi="Times New Roman" w:eastAsia="黑体" w:cs="Times New Roman"/>
                <w:kern w:val="0"/>
                <w:sz w:val="20"/>
                <w:szCs w:val="20"/>
              </w:rPr>
              <w:br w:type="textWrapping"/>
            </w:r>
            <w:r>
              <w:rPr>
                <w:rFonts w:hint="default" w:ascii="Times New Roman" w:hAnsi="Times New Roman" w:eastAsia="黑体" w:cs="Times New Roman"/>
                <w:kern w:val="0"/>
                <w:sz w:val="20"/>
                <w:szCs w:val="20"/>
              </w:rPr>
              <w:t>指标</w:t>
            </w:r>
          </w:p>
        </w:tc>
        <w:tc>
          <w:tcPr>
            <w:tcW w:w="548"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分值</w:t>
            </w:r>
          </w:p>
        </w:tc>
        <w:tc>
          <w:tcPr>
            <w:tcW w:w="676"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三级指标</w:t>
            </w:r>
          </w:p>
        </w:tc>
        <w:tc>
          <w:tcPr>
            <w:tcW w:w="516"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分值</w:t>
            </w:r>
          </w:p>
        </w:tc>
        <w:tc>
          <w:tcPr>
            <w:tcW w:w="3342"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指标解释</w:t>
            </w:r>
          </w:p>
        </w:tc>
        <w:tc>
          <w:tcPr>
            <w:tcW w:w="3036"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评分标准</w:t>
            </w:r>
          </w:p>
        </w:tc>
        <w:tc>
          <w:tcPr>
            <w:tcW w:w="726" w:type="dxa"/>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自评</w:t>
            </w:r>
            <w:r>
              <w:rPr>
                <w:rFonts w:hint="default" w:ascii="Times New Roman" w:hAnsi="Times New Roman" w:eastAsia="黑体" w:cs="Times New Roman"/>
                <w:kern w:val="0"/>
                <w:sz w:val="20"/>
                <w:szCs w:val="20"/>
              </w:rPr>
              <w:br w:type="textWrapping"/>
            </w:r>
            <w:r>
              <w:rPr>
                <w:rFonts w:hint="default" w:ascii="Times New Roman" w:hAnsi="Times New Roman" w:eastAsia="黑体" w:cs="Times New Roman"/>
                <w:kern w:val="0"/>
                <w:sz w:val="20"/>
                <w:szCs w:val="20"/>
              </w:rPr>
              <w:t>得分</w:t>
            </w:r>
          </w:p>
        </w:tc>
      </w:tr>
      <w:tr>
        <w:tblPrEx>
          <w:tblCellMar>
            <w:top w:w="0" w:type="dxa"/>
            <w:left w:w="108" w:type="dxa"/>
            <w:bottom w:w="0" w:type="dxa"/>
            <w:right w:w="108" w:type="dxa"/>
          </w:tblCellMar>
        </w:tblPrEx>
        <w:trPr>
          <w:trHeight w:val="1182" w:hRule="atLeast"/>
          <w:jc w:val="center"/>
        </w:trPr>
        <w:tc>
          <w:tcPr>
            <w:tcW w:w="731"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spacing w:line="280" w:lineRule="exact"/>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投入</w:t>
            </w:r>
          </w:p>
        </w:tc>
        <w:tc>
          <w:tcPr>
            <w:tcW w:w="63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目标</w:t>
            </w:r>
            <w:r>
              <w:rPr>
                <w:rFonts w:hint="default" w:ascii="Times New Roman" w:hAnsi="Times New Roman" w:cs="Times New Roman"/>
                <w:kern w:val="0"/>
                <w:sz w:val="20"/>
                <w:szCs w:val="20"/>
              </w:rPr>
              <w:br w:type="textWrapping"/>
            </w:r>
            <w:r>
              <w:rPr>
                <w:rFonts w:hint="default" w:ascii="Times New Roman" w:hAnsi="Times New Roman" w:cs="Times New Roman"/>
                <w:kern w:val="0"/>
                <w:sz w:val="20"/>
                <w:szCs w:val="20"/>
              </w:rPr>
              <w:t>设定</w:t>
            </w:r>
          </w:p>
        </w:tc>
        <w:tc>
          <w:tcPr>
            <w:tcW w:w="54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10</w:t>
            </w:r>
          </w:p>
        </w:tc>
        <w:tc>
          <w:tcPr>
            <w:tcW w:w="676" w:type="dxa"/>
            <w:tcBorders>
              <w:top w:val="single" w:color="auto" w:sz="4" w:space="0"/>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绩效目标合理性</w:t>
            </w:r>
          </w:p>
        </w:tc>
        <w:tc>
          <w:tcPr>
            <w:tcW w:w="516"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3</w:t>
            </w:r>
          </w:p>
        </w:tc>
        <w:tc>
          <w:tcPr>
            <w:tcW w:w="3342" w:type="dxa"/>
            <w:tcBorders>
              <w:top w:val="single" w:color="auto" w:sz="4" w:space="0"/>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 xml:space="preserve">  部门所设立的整体绩效目标依据是否充分，是否符合客观实际，用以反映和考核部门整体绩效目标与部门履职、年度工作任务的相符性情况。</w:t>
            </w:r>
          </w:p>
        </w:tc>
        <w:tc>
          <w:tcPr>
            <w:tcW w:w="3036" w:type="dxa"/>
            <w:tcBorders>
              <w:top w:val="single" w:color="auto" w:sz="4" w:space="0"/>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①符合国家法律法规、国民经济和社会发展总体规划，得1分；</w:t>
            </w:r>
            <w:r>
              <w:rPr>
                <w:rFonts w:hint="default" w:ascii="Times New Roman" w:hAnsi="Times New Roman" w:cs="Times New Roman"/>
                <w:kern w:val="0"/>
                <w:sz w:val="20"/>
                <w:szCs w:val="20"/>
              </w:rPr>
              <w:br w:type="textWrapping"/>
            </w:r>
            <w:r>
              <w:rPr>
                <w:rFonts w:hint="default" w:ascii="Times New Roman" w:hAnsi="Times New Roman" w:cs="Times New Roman"/>
                <w:kern w:val="0"/>
                <w:sz w:val="20"/>
                <w:szCs w:val="20"/>
              </w:rPr>
              <w:t>②符合部门“三定”方案确定的职责，得1分；</w:t>
            </w:r>
            <w:r>
              <w:rPr>
                <w:rFonts w:hint="default" w:ascii="Times New Roman" w:hAnsi="Times New Roman" w:cs="Times New Roman"/>
                <w:kern w:val="0"/>
                <w:sz w:val="20"/>
                <w:szCs w:val="20"/>
              </w:rPr>
              <w:br w:type="textWrapping"/>
            </w:r>
            <w:r>
              <w:rPr>
                <w:rFonts w:hint="default" w:ascii="Times New Roman" w:hAnsi="Times New Roman" w:cs="Times New Roman"/>
                <w:kern w:val="0"/>
                <w:sz w:val="20"/>
                <w:szCs w:val="20"/>
              </w:rPr>
              <w:t>③符合部门制定的中长期实施规划，得1分。</w:t>
            </w:r>
          </w:p>
        </w:tc>
        <w:tc>
          <w:tcPr>
            <w:tcW w:w="726" w:type="dxa"/>
            <w:tcBorders>
              <w:top w:val="single" w:color="auto" w:sz="4" w:space="0"/>
              <w:left w:val="nil"/>
              <w:bottom w:val="single" w:color="auto" w:sz="4" w:space="0"/>
              <w:right w:val="single" w:color="auto" w:sz="4" w:space="0"/>
            </w:tcBorders>
            <w:noWrap/>
            <w:vAlign w:val="center"/>
          </w:tcPr>
          <w:p>
            <w:pPr>
              <w:widowControl/>
              <w:jc w:val="center"/>
              <w:rPr>
                <w:rFonts w:hint="eastAsia" w:ascii="Times New Roman" w:hAnsi="Times New Roman" w:eastAsia="宋体" w:cs="Times New Roman"/>
                <w:kern w:val="0"/>
                <w:sz w:val="24"/>
                <w:szCs w:val="24"/>
                <w:lang w:val="en-US" w:eastAsia="zh-CN"/>
              </w:rPr>
            </w:pPr>
            <w:r>
              <w:rPr>
                <w:rFonts w:hint="eastAsia" w:ascii="Times New Roman" w:hAnsi="Times New Roman" w:cs="Times New Roman"/>
                <w:kern w:val="0"/>
                <w:sz w:val="24"/>
                <w:szCs w:val="24"/>
                <w:lang w:val="en-US" w:eastAsia="zh-CN"/>
              </w:rPr>
              <w:t>3</w:t>
            </w:r>
          </w:p>
        </w:tc>
      </w:tr>
      <w:tr>
        <w:tblPrEx>
          <w:tblCellMar>
            <w:top w:w="0" w:type="dxa"/>
            <w:left w:w="108" w:type="dxa"/>
            <w:bottom w:w="0" w:type="dxa"/>
            <w:right w:w="108" w:type="dxa"/>
          </w:tblCellMar>
        </w:tblPrEx>
        <w:trPr>
          <w:trHeight w:val="1320" w:hRule="atLeast"/>
          <w:jc w:val="center"/>
        </w:trPr>
        <w:tc>
          <w:tcPr>
            <w:tcW w:w="73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p>
        </w:tc>
        <w:tc>
          <w:tcPr>
            <w:tcW w:w="63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p>
        </w:tc>
        <w:tc>
          <w:tcPr>
            <w:tcW w:w="54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p>
        </w:tc>
        <w:tc>
          <w:tcPr>
            <w:tcW w:w="676" w:type="dxa"/>
            <w:tcBorders>
              <w:top w:val="single" w:color="auto" w:sz="4" w:space="0"/>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绩效指标明确性</w:t>
            </w:r>
          </w:p>
        </w:tc>
        <w:tc>
          <w:tcPr>
            <w:tcW w:w="516"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7</w:t>
            </w:r>
          </w:p>
        </w:tc>
        <w:tc>
          <w:tcPr>
            <w:tcW w:w="3342" w:type="dxa"/>
            <w:tcBorders>
              <w:top w:val="single" w:color="auto" w:sz="4" w:space="0"/>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 xml:space="preserve">  部门依据整体绩效目标所设定的绩效指标是否清晰、细化、可衡量，用以反映和考核部门整体绩效目标的明细化情况。</w:t>
            </w:r>
          </w:p>
        </w:tc>
        <w:tc>
          <w:tcPr>
            <w:tcW w:w="3036" w:type="dxa"/>
            <w:tcBorders>
              <w:top w:val="single" w:color="auto" w:sz="4" w:space="0"/>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①将部门整体的绩效目标细化分解为具体的工作任务，得1分；</w:t>
            </w:r>
            <w:r>
              <w:rPr>
                <w:rFonts w:hint="default" w:ascii="Times New Roman" w:hAnsi="Times New Roman" w:cs="Times New Roman"/>
                <w:kern w:val="0"/>
                <w:sz w:val="20"/>
                <w:szCs w:val="20"/>
              </w:rPr>
              <w:br w:type="textWrapping"/>
            </w:r>
            <w:r>
              <w:rPr>
                <w:rFonts w:hint="default" w:ascii="Times New Roman" w:hAnsi="Times New Roman" w:cs="Times New Roman"/>
                <w:kern w:val="0"/>
                <w:sz w:val="20"/>
                <w:szCs w:val="20"/>
              </w:rPr>
              <w:t xml:space="preserve">②通过清晰、可衡量的指标值予以体现，得2分；   </w:t>
            </w:r>
            <w:r>
              <w:rPr>
                <w:rFonts w:hint="default" w:ascii="Times New Roman" w:hAnsi="Times New Roman" w:cs="Times New Roman"/>
                <w:kern w:val="0"/>
                <w:sz w:val="20"/>
                <w:szCs w:val="20"/>
              </w:rPr>
              <w:br w:type="textWrapping"/>
            </w:r>
            <w:r>
              <w:rPr>
                <w:rFonts w:hint="default" w:ascii="Times New Roman" w:hAnsi="Times New Roman" w:cs="Times New Roman"/>
                <w:kern w:val="0"/>
                <w:sz w:val="20"/>
                <w:szCs w:val="20"/>
              </w:rPr>
              <w:t>③与部门年度的任务数或计划数相对应，得2分；</w:t>
            </w:r>
            <w:r>
              <w:rPr>
                <w:rFonts w:hint="default" w:ascii="Times New Roman" w:hAnsi="Times New Roman" w:cs="Times New Roman"/>
                <w:kern w:val="0"/>
                <w:sz w:val="20"/>
                <w:szCs w:val="20"/>
              </w:rPr>
              <w:br w:type="textWrapping"/>
            </w:r>
            <w:r>
              <w:rPr>
                <w:rFonts w:hint="default" w:ascii="Times New Roman" w:hAnsi="Times New Roman" w:cs="Times New Roman"/>
                <w:kern w:val="0"/>
                <w:sz w:val="20"/>
                <w:szCs w:val="20"/>
              </w:rPr>
              <w:t>④与本年度部门预算资金相匹配，得2分。</w:t>
            </w:r>
          </w:p>
        </w:tc>
        <w:tc>
          <w:tcPr>
            <w:tcW w:w="726" w:type="dxa"/>
            <w:tcBorders>
              <w:top w:val="single" w:color="auto" w:sz="4" w:space="0"/>
              <w:left w:val="nil"/>
              <w:bottom w:val="single" w:color="auto" w:sz="4" w:space="0"/>
              <w:right w:val="single" w:color="auto" w:sz="4" w:space="0"/>
            </w:tcBorders>
            <w:noWrap/>
            <w:vAlign w:val="center"/>
          </w:tcPr>
          <w:p>
            <w:pPr>
              <w:widowControl/>
              <w:jc w:val="center"/>
              <w:rPr>
                <w:rFonts w:hint="default" w:ascii="Times New Roman" w:hAnsi="Times New Roman" w:cs="Times New Roman"/>
                <w:kern w:val="0"/>
                <w:sz w:val="24"/>
                <w:szCs w:val="24"/>
              </w:rPr>
            </w:pPr>
            <w:r>
              <w:rPr>
                <w:rFonts w:hint="eastAsia" w:ascii="Times New Roman" w:hAnsi="Times New Roman" w:cs="Times New Roman"/>
                <w:kern w:val="0"/>
                <w:sz w:val="24"/>
                <w:szCs w:val="24"/>
                <w:lang w:val="en-US" w:eastAsia="zh-CN"/>
              </w:rPr>
              <w:t>7</w:t>
            </w:r>
          </w:p>
        </w:tc>
      </w:tr>
      <w:tr>
        <w:tblPrEx>
          <w:tblCellMar>
            <w:top w:w="0" w:type="dxa"/>
            <w:left w:w="108" w:type="dxa"/>
            <w:bottom w:w="0" w:type="dxa"/>
            <w:right w:w="108" w:type="dxa"/>
          </w:tblCellMar>
        </w:tblPrEx>
        <w:trPr>
          <w:trHeight w:val="1680" w:hRule="atLeast"/>
          <w:jc w:val="center"/>
        </w:trPr>
        <w:tc>
          <w:tcPr>
            <w:tcW w:w="73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p>
        </w:tc>
        <w:tc>
          <w:tcPr>
            <w:tcW w:w="63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预算</w:t>
            </w:r>
            <w:r>
              <w:rPr>
                <w:rFonts w:hint="default" w:ascii="Times New Roman" w:hAnsi="Times New Roman" w:cs="Times New Roman"/>
                <w:kern w:val="0"/>
                <w:sz w:val="20"/>
                <w:szCs w:val="20"/>
              </w:rPr>
              <w:br w:type="textWrapping"/>
            </w:r>
            <w:r>
              <w:rPr>
                <w:rFonts w:hint="default" w:ascii="Times New Roman" w:hAnsi="Times New Roman" w:cs="Times New Roman"/>
                <w:kern w:val="0"/>
                <w:sz w:val="20"/>
                <w:szCs w:val="20"/>
              </w:rPr>
              <w:t>配置</w:t>
            </w:r>
          </w:p>
        </w:tc>
        <w:tc>
          <w:tcPr>
            <w:tcW w:w="54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5</w:t>
            </w:r>
          </w:p>
        </w:tc>
        <w:tc>
          <w:tcPr>
            <w:tcW w:w="676" w:type="dxa"/>
            <w:tcBorders>
              <w:top w:val="single" w:color="auto" w:sz="4" w:space="0"/>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在职人员控制率</w:t>
            </w:r>
          </w:p>
        </w:tc>
        <w:tc>
          <w:tcPr>
            <w:tcW w:w="516"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1</w:t>
            </w:r>
          </w:p>
        </w:tc>
        <w:tc>
          <w:tcPr>
            <w:tcW w:w="3342" w:type="dxa"/>
            <w:tcBorders>
              <w:top w:val="single" w:color="auto" w:sz="4" w:space="0"/>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 xml:space="preserve">  部门本年度实际在职人员数与编制数的比率，用以反映和考核部门对人员成本的控制程度。</w:t>
            </w:r>
            <w:r>
              <w:rPr>
                <w:rFonts w:hint="default" w:ascii="Times New Roman" w:hAnsi="Times New Roman" w:cs="Times New Roman"/>
                <w:kern w:val="0"/>
                <w:sz w:val="20"/>
                <w:szCs w:val="20"/>
              </w:rPr>
              <w:br w:type="textWrapping"/>
            </w:r>
            <w:r>
              <w:rPr>
                <w:rFonts w:hint="default" w:ascii="Times New Roman" w:hAnsi="Times New Roman" w:cs="Times New Roman"/>
                <w:kern w:val="0"/>
                <w:sz w:val="20"/>
                <w:szCs w:val="20"/>
              </w:rPr>
              <w:t xml:space="preserve">  在职人员控制率=（在职人员数/编制数）×100%。</w:t>
            </w:r>
            <w:r>
              <w:rPr>
                <w:rFonts w:hint="default" w:ascii="Times New Roman" w:hAnsi="Times New Roman" w:cs="Times New Roman"/>
                <w:kern w:val="0"/>
                <w:sz w:val="20"/>
                <w:szCs w:val="20"/>
              </w:rPr>
              <w:br w:type="textWrapping"/>
            </w:r>
            <w:r>
              <w:rPr>
                <w:rFonts w:hint="default" w:ascii="Times New Roman" w:hAnsi="Times New Roman" w:cs="Times New Roman"/>
                <w:kern w:val="0"/>
                <w:sz w:val="20"/>
                <w:szCs w:val="20"/>
              </w:rPr>
              <w:t xml:space="preserve">  在职人员数：部门实际在职人数，以财政部确定的部门决算编制口径为准。扣掉编制部门和劳动部门批复同意的临聘人员。</w:t>
            </w:r>
            <w:r>
              <w:rPr>
                <w:rFonts w:hint="default" w:ascii="Times New Roman" w:hAnsi="Times New Roman" w:cs="Times New Roman"/>
                <w:kern w:val="0"/>
                <w:sz w:val="20"/>
                <w:szCs w:val="20"/>
              </w:rPr>
              <w:br w:type="textWrapping"/>
            </w:r>
            <w:r>
              <w:rPr>
                <w:rFonts w:hint="default" w:ascii="Times New Roman" w:hAnsi="Times New Roman" w:cs="Times New Roman"/>
                <w:kern w:val="0"/>
                <w:sz w:val="20"/>
                <w:szCs w:val="20"/>
              </w:rPr>
              <w:t xml:space="preserve">  编制数：机构编制部门核定批复的部门的人员编制数。</w:t>
            </w:r>
          </w:p>
        </w:tc>
        <w:tc>
          <w:tcPr>
            <w:tcW w:w="3036" w:type="dxa"/>
            <w:tcBorders>
              <w:top w:val="single" w:color="auto" w:sz="4" w:space="0"/>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在职人员控制率≤100%，得1分；</w:t>
            </w:r>
            <w:r>
              <w:rPr>
                <w:rFonts w:hint="default" w:ascii="Times New Roman" w:hAnsi="Times New Roman" w:cs="Times New Roman"/>
                <w:kern w:val="0"/>
                <w:sz w:val="20"/>
                <w:szCs w:val="20"/>
              </w:rPr>
              <w:br w:type="textWrapping"/>
            </w:r>
            <w:r>
              <w:rPr>
                <w:rFonts w:hint="default" w:ascii="Times New Roman" w:hAnsi="Times New Roman" w:cs="Times New Roman"/>
                <w:kern w:val="0"/>
                <w:sz w:val="20"/>
                <w:szCs w:val="20"/>
              </w:rPr>
              <w:t>每超过一个百分点扣0.5分，扣完为止。</w:t>
            </w:r>
          </w:p>
        </w:tc>
        <w:tc>
          <w:tcPr>
            <w:tcW w:w="726" w:type="dxa"/>
            <w:tcBorders>
              <w:top w:val="single" w:color="auto" w:sz="4" w:space="0"/>
              <w:left w:val="nil"/>
              <w:bottom w:val="single" w:color="auto" w:sz="4" w:space="0"/>
              <w:right w:val="single" w:color="auto" w:sz="4" w:space="0"/>
            </w:tcBorders>
            <w:noWrap/>
            <w:vAlign w:val="center"/>
          </w:tcPr>
          <w:p>
            <w:pPr>
              <w:widowControl/>
              <w:jc w:val="center"/>
              <w:rPr>
                <w:rFonts w:hint="eastAsia" w:ascii="Times New Roman" w:hAnsi="Times New Roman" w:eastAsia="宋体" w:cs="Times New Roman"/>
                <w:kern w:val="0"/>
                <w:sz w:val="24"/>
                <w:szCs w:val="24"/>
                <w:lang w:val="en-US" w:eastAsia="zh-CN"/>
              </w:rPr>
            </w:pPr>
            <w:r>
              <w:rPr>
                <w:rFonts w:hint="eastAsia" w:ascii="Times New Roman" w:hAnsi="Times New Roman" w:cs="Times New Roman"/>
                <w:kern w:val="0"/>
                <w:sz w:val="24"/>
                <w:szCs w:val="24"/>
                <w:lang w:val="en-US" w:eastAsia="zh-CN"/>
              </w:rPr>
              <w:t>1</w:t>
            </w:r>
          </w:p>
        </w:tc>
      </w:tr>
      <w:tr>
        <w:tblPrEx>
          <w:tblCellMar>
            <w:top w:w="0" w:type="dxa"/>
            <w:left w:w="108" w:type="dxa"/>
            <w:bottom w:w="0" w:type="dxa"/>
            <w:right w:w="108" w:type="dxa"/>
          </w:tblCellMar>
        </w:tblPrEx>
        <w:trPr>
          <w:trHeight w:val="1722" w:hRule="atLeast"/>
          <w:jc w:val="center"/>
        </w:trPr>
        <w:tc>
          <w:tcPr>
            <w:tcW w:w="73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p>
        </w:tc>
        <w:tc>
          <w:tcPr>
            <w:tcW w:w="63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p>
        </w:tc>
        <w:tc>
          <w:tcPr>
            <w:tcW w:w="54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p>
        </w:tc>
        <w:tc>
          <w:tcPr>
            <w:tcW w:w="676" w:type="dxa"/>
            <w:tcBorders>
              <w:top w:val="single" w:color="auto" w:sz="4" w:space="0"/>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“三公经费”变动率</w:t>
            </w:r>
          </w:p>
        </w:tc>
        <w:tc>
          <w:tcPr>
            <w:tcW w:w="516"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1</w:t>
            </w:r>
          </w:p>
        </w:tc>
        <w:tc>
          <w:tcPr>
            <w:tcW w:w="3342" w:type="dxa"/>
            <w:tcBorders>
              <w:top w:val="single" w:color="auto" w:sz="4" w:space="0"/>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 xml:space="preserve">  部门本年度“三公经费”预算数与上年度“三公经费”预算数的变动比率，用以反映和考核部门对控制重点行政成本的努力程度。</w:t>
            </w:r>
            <w:r>
              <w:rPr>
                <w:rFonts w:hint="default" w:ascii="Times New Roman" w:hAnsi="Times New Roman" w:cs="Times New Roman"/>
                <w:kern w:val="0"/>
                <w:sz w:val="20"/>
                <w:szCs w:val="20"/>
              </w:rPr>
              <w:br w:type="textWrapping"/>
            </w:r>
            <w:r>
              <w:rPr>
                <w:rFonts w:hint="default" w:ascii="Times New Roman" w:hAnsi="Times New Roman" w:cs="Times New Roman"/>
                <w:kern w:val="0"/>
                <w:sz w:val="20"/>
                <w:szCs w:val="20"/>
              </w:rPr>
              <w:t xml:space="preserve">  “三公经费”变动率=[（本年度“三公经费”预算数-上年度“三公经费”预算数）/上年度“三公经费”预算数]×100%。</w:t>
            </w:r>
            <w:r>
              <w:rPr>
                <w:rFonts w:hint="default" w:ascii="Times New Roman" w:hAnsi="Times New Roman" w:cs="Times New Roman"/>
                <w:kern w:val="0"/>
                <w:sz w:val="20"/>
                <w:szCs w:val="20"/>
              </w:rPr>
              <w:br w:type="textWrapping"/>
            </w:r>
            <w:r>
              <w:rPr>
                <w:rFonts w:hint="default" w:ascii="Times New Roman" w:hAnsi="Times New Roman" w:cs="Times New Roman"/>
                <w:kern w:val="0"/>
                <w:sz w:val="20"/>
                <w:szCs w:val="20"/>
              </w:rPr>
              <w:t xml:space="preserve">  三公经费：年度预算安排的因公出国（境）费、公务车辆购置及运行费和公务招待费。</w:t>
            </w:r>
          </w:p>
        </w:tc>
        <w:tc>
          <w:tcPr>
            <w:tcW w:w="3036" w:type="dxa"/>
            <w:tcBorders>
              <w:top w:val="single" w:color="auto" w:sz="4" w:space="0"/>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“三公经费”变动率≤0，得1分；</w:t>
            </w:r>
            <w:r>
              <w:rPr>
                <w:rFonts w:hint="default" w:ascii="Times New Roman" w:hAnsi="Times New Roman" w:cs="Times New Roman"/>
                <w:kern w:val="0"/>
                <w:sz w:val="20"/>
                <w:szCs w:val="20"/>
              </w:rPr>
              <w:br w:type="textWrapping"/>
            </w:r>
            <w:r>
              <w:rPr>
                <w:rFonts w:hint="default" w:ascii="Times New Roman" w:hAnsi="Times New Roman" w:cs="Times New Roman"/>
                <w:kern w:val="0"/>
                <w:sz w:val="20"/>
                <w:szCs w:val="20"/>
              </w:rPr>
              <w:t>每超过一个百分点扣0.5分，扣完为止。</w:t>
            </w:r>
          </w:p>
        </w:tc>
        <w:tc>
          <w:tcPr>
            <w:tcW w:w="726" w:type="dxa"/>
            <w:tcBorders>
              <w:top w:val="single" w:color="auto" w:sz="4" w:space="0"/>
              <w:left w:val="nil"/>
              <w:bottom w:val="single" w:color="auto" w:sz="4" w:space="0"/>
              <w:right w:val="single" w:color="auto" w:sz="4" w:space="0"/>
            </w:tcBorders>
            <w:noWrap/>
            <w:vAlign w:val="center"/>
          </w:tcPr>
          <w:p>
            <w:pPr>
              <w:widowControl/>
              <w:jc w:val="center"/>
              <w:rPr>
                <w:rFonts w:hint="eastAsia" w:ascii="Times New Roman" w:hAnsi="Times New Roman" w:eastAsia="宋体" w:cs="Times New Roman"/>
                <w:kern w:val="0"/>
                <w:sz w:val="24"/>
                <w:szCs w:val="24"/>
                <w:lang w:val="en-US" w:eastAsia="zh-CN"/>
              </w:rPr>
            </w:pPr>
            <w:r>
              <w:rPr>
                <w:rFonts w:hint="eastAsia" w:ascii="Times New Roman" w:hAnsi="Times New Roman" w:cs="Times New Roman"/>
                <w:kern w:val="0"/>
                <w:sz w:val="24"/>
                <w:szCs w:val="24"/>
                <w:lang w:val="en-US" w:eastAsia="zh-CN"/>
              </w:rPr>
              <w:t>1</w:t>
            </w:r>
          </w:p>
        </w:tc>
      </w:tr>
      <w:tr>
        <w:tblPrEx>
          <w:tblCellMar>
            <w:top w:w="0" w:type="dxa"/>
            <w:left w:w="108" w:type="dxa"/>
            <w:bottom w:w="0" w:type="dxa"/>
            <w:right w:w="108" w:type="dxa"/>
          </w:tblCellMar>
        </w:tblPrEx>
        <w:trPr>
          <w:trHeight w:val="1722" w:hRule="atLeast"/>
          <w:jc w:val="center"/>
        </w:trPr>
        <w:tc>
          <w:tcPr>
            <w:tcW w:w="73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p>
        </w:tc>
        <w:tc>
          <w:tcPr>
            <w:tcW w:w="63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p>
        </w:tc>
        <w:tc>
          <w:tcPr>
            <w:tcW w:w="54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p>
        </w:tc>
        <w:tc>
          <w:tcPr>
            <w:tcW w:w="676" w:type="dxa"/>
            <w:tcBorders>
              <w:top w:val="single" w:color="auto" w:sz="4" w:space="0"/>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重点支出安排率</w:t>
            </w:r>
          </w:p>
        </w:tc>
        <w:tc>
          <w:tcPr>
            <w:tcW w:w="516"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3</w:t>
            </w:r>
          </w:p>
        </w:tc>
        <w:tc>
          <w:tcPr>
            <w:tcW w:w="3342" w:type="dxa"/>
            <w:tcBorders>
              <w:top w:val="single" w:color="auto" w:sz="4" w:space="0"/>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 xml:space="preserve">  部门本年度预算安排的重点预算支出与部门预算总支出的比率，用以反映和考核部门对履行主要职责或完成重点任务的保障程度。</w:t>
            </w:r>
            <w:r>
              <w:rPr>
                <w:rFonts w:hint="default" w:ascii="Times New Roman" w:hAnsi="Times New Roman" w:cs="Times New Roman"/>
                <w:kern w:val="0"/>
                <w:sz w:val="20"/>
                <w:szCs w:val="20"/>
              </w:rPr>
              <w:br w:type="textWrapping"/>
            </w:r>
            <w:r>
              <w:rPr>
                <w:rFonts w:hint="default" w:ascii="Times New Roman" w:hAnsi="Times New Roman" w:cs="Times New Roman"/>
                <w:kern w:val="0"/>
                <w:sz w:val="20"/>
                <w:szCs w:val="20"/>
              </w:rPr>
              <w:t xml:space="preserve">  重点支出安排率=（重点预算支出/预算总支出）×100%。</w:t>
            </w:r>
            <w:r>
              <w:rPr>
                <w:rFonts w:hint="default" w:ascii="Times New Roman" w:hAnsi="Times New Roman" w:cs="Times New Roman"/>
                <w:kern w:val="0"/>
                <w:sz w:val="20"/>
                <w:szCs w:val="20"/>
              </w:rPr>
              <w:br w:type="textWrapping"/>
            </w:r>
            <w:r>
              <w:rPr>
                <w:rFonts w:hint="default" w:ascii="Times New Roman" w:hAnsi="Times New Roman" w:cs="Times New Roman"/>
                <w:kern w:val="0"/>
                <w:sz w:val="20"/>
                <w:szCs w:val="20"/>
              </w:rPr>
              <w:t xml:space="preserve">  重点预算支出：部门年度预算安排的，与本部门履职和发展密切相关、具有明显社会和经济影响、党委政府关心或社会比较关注的预算支出总额。</w:t>
            </w:r>
            <w:r>
              <w:rPr>
                <w:rFonts w:hint="default" w:ascii="Times New Roman" w:hAnsi="Times New Roman" w:cs="Times New Roman"/>
                <w:kern w:val="0"/>
                <w:sz w:val="20"/>
                <w:szCs w:val="20"/>
              </w:rPr>
              <w:br w:type="textWrapping"/>
            </w:r>
            <w:r>
              <w:rPr>
                <w:rFonts w:hint="default" w:ascii="Times New Roman" w:hAnsi="Times New Roman" w:cs="Times New Roman"/>
                <w:kern w:val="0"/>
                <w:sz w:val="20"/>
                <w:szCs w:val="20"/>
              </w:rPr>
              <w:t xml:space="preserve">  预算总支出：部门年度预算安排的预算支出总额。</w:t>
            </w:r>
          </w:p>
        </w:tc>
        <w:tc>
          <w:tcPr>
            <w:tcW w:w="3036" w:type="dxa"/>
            <w:tcBorders>
              <w:top w:val="single" w:color="auto" w:sz="4" w:space="0"/>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重点支出安排率≥90%，得3分；</w:t>
            </w:r>
            <w:r>
              <w:rPr>
                <w:rFonts w:hint="default" w:ascii="Times New Roman" w:hAnsi="Times New Roman" w:cs="Times New Roman"/>
                <w:kern w:val="0"/>
                <w:sz w:val="20"/>
                <w:szCs w:val="20"/>
              </w:rPr>
              <w:br w:type="textWrapping"/>
            </w:r>
            <w:r>
              <w:rPr>
                <w:rFonts w:hint="default" w:ascii="Times New Roman" w:hAnsi="Times New Roman" w:cs="Times New Roman"/>
                <w:kern w:val="0"/>
                <w:sz w:val="20"/>
                <w:szCs w:val="20"/>
              </w:rPr>
              <w:t>80%（含）-90%，得2分；</w:t>
            </w:r>
            <w:r>
              <w:rPr>
                <w:rFonts w:hint="default" w:ascii="Times New Roman" w:hAnsi="Times New Roman" w:cs="Times New Roman"/>
                <w:kern w:val="0"/>
                <w:sz w:val="20"/>
                <w:szCs w:val="20"/>
              </w:rPr>
              <w:br w:type="textWrapping"/>
            </w:r>
            <w:r>
              <w:rPr>
                <w:rFonts w:hint="default" w:ascii="Times New Roman" w:hAnsi="Times New Roman" w:cs="Times New Roman"/>
                <w:kern w:val="0"/>
                <w:sz w:val="20"/>
                <w:szCs w:val="20"/>
              </w:rPr>
              <w:t>70%（含）-80%，得1分；</w:t>
            </w:r>
            <w:r>
              <w:rPr>
                <w:rFonts w:hint="default" w:ascii="Times New Roman" w:hAnsi="Times New Roman" w:cs="Times New Roman"/>
                <w:kern w:val="0"/>
                <w:sz w:val="20"/>
                <w:szCs w:val="20"/>
              </w:rPr>
              <w:br w:type="textWrapping"/>
            </w:r>
            <w:r>
              <w:rPr>
                <w:rFonts w:hint="default" w:ascii="Times New Roman" w:hAnsi="Times New Roman" w:cs="Times New Roman"/>
                <w:kern w:val="0"/>
                <w:sz w:val="20"/>
                <w:szCs w:val="20"/>
              </w:rPr>
              <w:t>60%（含）-70%，得0.5分；</w:t>
            </w:r>
            <w:r>
              <w:rPr>
                <w:rFonts w:hint="default" w:ascii="Times New Roman" w:hAnsi="Times New Roman" w:cs="Times New Roman"/>
                <w:kern w:val="0"/>
                <w:sz w:val="20"/>
                <w:szCs w:val="20"/>
              </w:rPr>
              <w:br w:type="textWrapping"/>
            </w:r>
            <w:r>
              <w:rPr>
                <w:rFonts w:hint="default" w:ascii="Times New Roman" w:hAnsi="Times New Roman" w:cs="Times New Roman"/>
                <w:kern w:val="0"/>
                <w:sz w:val="20"/>
                <w:szCs w:val="20"/>
              </w:rPr>
              <w:t>＜60%，得0分。</w:t>
            </w:r>
          </w:p>
        </w:tc>
        <w:tc>
          <w:tcPr>
            <w:tcW w:w="726" w:type="dxa"/>
            <w:tcBorders>
              <w:top w:val="single" w:color="auto" w:sz="4" w:space="0"/>
              <w:left w:val="nil"/>
              <w:bottom w:val="single" w:color="auto" w:sz="4" w:space="0"/>
              <w:right w:val="single" w:color="auto" w:sz="4" w:space="0"/>
            </w:tcBorders>
            <w:noWrap/>
            <w:vAlign w:val="center"/>
          </w:tcPr>
          <w:p>
            <w:pPr>
              <w:widowControl/>
              <w:jc w:val="center"/>
              <w:rPr>
                <w:rFonts w:hint="eastAsia" w:ascii="Times New Roman" w:hAnsi="Times New Roman" w:eastAsia="宋体" w:cs="Times New Roman"/>
                <w:kern w:val="0"/>
                <w:sz w:val="24"/>
                <w:szCs w:val="24"/>
                <w:lang w:val="en-US" w:eastAsia="zh-CN"/>
              </w:rPr>
            </w:pPr>
            <w:r>
              <w:rPr>
                <w:rFonts w:hint="eastAsia" w:ascii="Times New Roman" w:hAnsi="Times New Roman" w:cs="Times New Roman"/>
                <w:kern w:val="0"/>
                <w:sz w:val="24"/>
                <w:szCs w:val="24"/>
                <w:lang w:val="en-US" w:eastAsia="zh-CN"/>
              </w:rPr>
              <w:t>3</w:t>
            </w:r>
          </w:p>
        </w:tc>
      </w:tr>
      <w:tr>
        <w:tblPrEx>
          <w:tblCellMar>
            <w:top w:w="0" w:type="dxa"/>
            <w:left w:w="108" w:type="dxa"/>
            <w:bottom w:w="0" w:type="dxa"/>
            <w:right w:w="108" w:type="dxa"/>
          </w:tblCellMar>
        </w:tblPrEx>
        <w:trPr>
          <w:trHeight w:val="919" w:hRule="atLeast"/>
          <w:jc w:val="center"/>
        </w:trPr>
        <w:tc>
          <w:tcPr>
            <w:tcW w:w="731"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spacing w:line="280" w:lineRule="exact"/>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过   程</w:t>
            </w:r>
          </w:p>
        </w:tc>
        <w:tc>
          <w:tcPr>
            <w:tcW w:w="63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预算</w:t>
            </w:r>
            <w:r>
              <w:rPr>
                <w:rFonts w:hint="default" w:ascii="Times New Roman" w:hAnsi="Times New Roman" w:cs="Times New Roman"/>
                <w:kern w:val="0"/>
                <w:sz w:val="20"/>
                <w:szCs w:val="20"/>
              </w:rPr>
              <w:br w:type="textWrapping"/>
            </w:r>
            <w:r>
              <w:rPr>
                <w:rFonts w:hint="default" w:ascii="Times New Roman" w:hAnsi="Times New Roman" w:cs="Times New Roman"/>
                <w:kern w:val="0"/>
                <w:sz w:val="20"/>
                <w:szCs w:val="20"/>
              </w:rPr>
              <w:t>执行</w:t>
            </w:r>
          </w:p>
        </w:tc>
        <w:tc>
          <w:tcPr>
            <w:tcW w:w="54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13</w:t>
            </w:r>
          </w:p>
        </w:tc>
        <w:tc>
          <w:tcPr>
            <w:tcW w:w="676" w:type="dxa"/>
            <w:tcBorders>
              <w:top w:val="single" w:color="auto" w:sz="4" w:space="0"/>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预算完成率</w:t>
            </w:r>
          </w:p>
        </w:tc>
        <w:tc>
          <w:tcPr>
            <w:tcW w:w="516"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3</w:t>
            </w:r>
          </w:p>
        </w:tc>
        <w:tc>
          <w:tcPr>
            <w:tcW w:w="3342" w:type="dxa"/>
            <w:tcBorders>
              <w:top w:val="single" w:color="auto" w:sz="4" w:space="0"/>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 xml:space="preserve">  部门本年度预算完成数与预算数的比率，用以反映和考核部门预算完成程度。</w:t>
            </w:r>
            <w:r>
              <w:rPr>
                <w:rFonts w:hint="default" w:ascii="Times New Roman" w:hAnsi="Times New Roman" w:cs="Times New Roman"/>
                <w:kern w:val="0"/>
                <w:sz w:val="20"/>
                <w:szCs w:val="20"/>
              </w:rPr>
              <w:br w:type="textWrapping"/>
            </w:r>
            <w:r>
              <w:rPr>
                <w:rFonts w:hint="default" w:ascii="Times New Roman" w:hAnsi="Times New Roman" w:cs="Times New Roman"/>
                <w:kern w:val="0"/>
                <w:sz w:val="20"/>
                <w:szCs w:val="20"/>
              </w:rPr>
              <w:t xml:space="preserve">  预算完成率=（预算完成数/预算数）×100%。</w:t>
            </w:r>
          </w:p>
        </w:tc>
        <w:tc>
          <w:tcPr>
            <w:tcW w:w="3036" w:type="dxa"/>
            <w:tcBorders>
              <w:top w:val="single" w:color="auto" w:sz="4" w:space="0"/>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预算完成率≥95%，得3分；</w:t>
            </w:r>
            <w:r>
              <w:rPr>
                <w:rFonts w:hint="default" w:ascii="Times New Roman" w:hAnsi="Times New Roman" w:cs="Times New Roman"/>
                <w:kern w:val="0"/>
                <w:sz w:val="20"/>
                <w:szCs w:val="20"/>
              </w:rPr>
              <w:br w:type="textWrapping"/>
            </w:r>
            <w:r>
              <w:rPr>
                <w:rFonts w:hint="default" w:ascii="Times New Roman" w:hAnsi="Times New Roman" w:cs="Times New Roman"/>
                <w:kern w:val="0"/>
                <w:sz w:val="20"/>
                <w:szCs w:val="20"/>
              </w:rPr>
              <w:t>每降低5%，扣1分，扣完为止。</w:t>
            </w:r>
          </w:p>
        </w:tc>
        <w:tc>
          <w:tcPr>
            <w:tcW w:w="726" w:type="dxa"/>
            <w:tcBorders>
              <w:top w:val="single" w:color="auto" w:sz="4" w:space="0"/>
              <w:left w:val="nil"/>
              <w:bottom w:val="single" w:color="auto" w:sz="4" w:space="0"/>
              <w:right w:val="single" w:color="auto" w:sz="4" w:space="0"/>
            </w:tcBorders>
            <w:noWrap/>
            <w:vAlign w:val="center"/>
          </w:tcPr>
          <w:p>
            <w:pPr>
              <w:widowControl/>
              <w:jc w:val="center"/>
              <w:rPr>
                <w:rFonts w:hint="eastAsia" w:ascii="Times New Roman" w:hAnsi="Times New Roman" w:eastAsia="宋体" w:cs="Times New Roman"/>
                <w:kern w:val="0"/>
                <w:sz w:val="24"/>
                <w:szCs w:val="24"/>
                <w:lang w:val="en-US" w:eastAsia="zh-CN"/>
              </w:rPr>
            </w:pPr>
            <w:r>
              <w:rPr>
                <w:rFonts w:hint="eastAsia" w:ascii="Times New Roman" w:hAnsi="Times New Roman" w:cs="Times New Roman"/>
                <w:kern w:val="0"/>
                <w:sz w:val="24"/>
                <w:szCs w:val="24"/>
                <w:lang w:val="en-US" w:eastAsia="zh-CN"/>
              </w:rPr>
              <w:t>3</w:t>
            </w:r>
          </w:p>
        </w:tc>
      </w:tr>
      <w:tr>
        <w:tblPrEx>
          <w:tblCellMar>
            <w:top w:w="0" w:type="dxa"/>
            <w:left w:w="108" w:type="dxa"/>
            <w:bottom w:w="0" w:type="dxa"/>
            <w:right w:w="108" w:type="dxa"/>
          </w:tblCellMar>
        </w:tblPrEx>
        <w:trPr>
          <w:trHeight w:val="1620" w:hRule="atLeast"/>
          <w:jc w:val="center"/>
        </w:trPr>
        <w:tc>
          <w:tcPr>
            <w:tcW w:w="73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p>
        </w:tc>
        <w:tc>
          <w:tcPr>
            <w:tcW w:w="63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p>
        </w:tc>
        <w:tc>
          <w:tcPr>
            <w:tcW w:w="54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p>
        </w:tc>
        <w:tc>
          <w:tcPr>
            <w:tcW w:w="676" w:type="dxa"/>
            <w:tcBorders>
              <w:top w:val="single" w:color="auto" w:sz="4" w:space="0"/>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预算调整率</w:t>
            </w:r>
          </w:p>
        </w:tc>
        <w:tc>
          <w:tcPr>
            <w:tcW w:w="516"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2</w:t>
            </w:r>
          </w:p>
        </w:tc>
        <w:tc>
          <w:tcPr>
            <w:tcW w:w="3342" w:type="dxa"/>
            <w:tcBorders>
              <w:top w:val="single" w:color="auto" w:sz="4" w:space="0"/>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 xml:space="preserve">  部门本年度预算调整数与预算数的比率，用以反映和考核部门预算的调整程度。</w:t>
            </w:r>
            <w:r>
              <w:rPr>
                <w:rFonts w:hint="default" w:ascii="Times New Roman" w:hAnsi="Times New Roman" w:cs="Times New Roman"/>
                <w:kern w:val="0"/>
                <w:sz w:val="20"/>
                <w:szCs w:val="20"/>
              </w:rPr>
              <w:br w:type="textWrapping"/>
            </w:r>
            <w:r>
              <w:rPr>
                <w:rFonts w:hint="default" w:ascii="Times New Roman" w:hAnsi="Times New Roman" w:cs="Times New Roman"/>
                <w:kern w:val="0"/>
                <w:sz w:val="20"/>
                <w:szCs w:val="20"/>
              </w:rPr>
              <w:t xml:space="preserve">  预算调整率=（本年预算调整数/年初预算）×100%。</w:t>
            </w:r>
            <w:r>
              <w:rPr>
                <w:rFonts w:hint="default" w:ascii="Times New Roman" w:hAnsi="Times New Roman" w:cs="Times New Roman"/>
                <w:kern w:val="0"/>
                <w:sz w:val="20"/>
                <w:szCs w:val="20"/>
              </w:rPr>
              <w:br w:type="textWrapping"/>
            </w:r>
            <w:r>
              <w:rPr>
                <w:rFonts w:hint="default" w:ascii="Times New Roman" w:hAnsi="Times New Roman" w:cs="Times New Roman"/>
                <w:kern w:val="0"/>
                <w:sz w:val="20"/>
                <w:szCs w:val="20"/>
              </w:rPr>
              <w:t xml:space="preserve">  本年预算调整数：部门在本年度内涉及预算的追加、追减或结构调整的资金总和（因落实国家政策、发生不可抗力、上级部门或本级党委政府临时交办而产生的调整除外）。</w:t>
            </w:r>
          </w:p>
        </w:tc>
        <w:tc>
          <w:tcPr>
            <w:tcW w:w="3036" w:type="dxa"/>
            <w:tcBorders>
              <w:top w:val="single" w:color="auto" w:sz="4" w:space="0"/>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预算调整率≤5%，得2分；</w:t>
            </w:r>
            <w:r>
              <w:rPr>
                <w:rFonts w:hint="default" w:ascii="Times New Roman" w:hAnsi="Times New Roman" w:cs="Times New Roman"/>
                <w:kern w:val="0"/>
                <w:sz w:val="20"/>
                <w:szCs w:val="20"/>
              </w:rPr>
              <w:br w:type="textWrapping"/>
            </w:r>
            <w:r>
              <w:rPr>
                <w:rFonts w:hint="default" w:ascii="Times New Roman" w:hAnsi="Times New Roman" w:cs="Times New Roman"/>
                <w:kern w:val="0"/>
                <w:sz w:val="20"/>
                <w:szCs w:val="20"/>
              </w:rPr>
              <w:t>5%-10%（含），得1.5分；</w:t>
            </w:r>
            <w:r>
              <w:rPr>
                <w:rFonts w:hint="default" w:ascii="Times New Roman" w:hAnsi="Times New Roman" w:cs="Times New Roman"/>
                <w:kern w:val="0"/>
                <w:sz w:val="20"/>
                <w:szCs w:val="20"/>
              </w:rPr>
              <w:br w:type="textWrapping"/>
            </w:r>
            <w:r>
              <w:rPr>
                <w:rFonts w:hint="default" w:ascii="Times New Roman" w:hAnsi="Times New Roman" w:cs="Times New Roman"/>
                <w:kern w:val="0"/>
                <w:sz w:val="20"/>
                <w:szCs w:val="20"/>
              </w:rPr>
              <w:t>10%-15%（含），得1分；</w:t>
            </w:r>
            <w:r>
              <w:rPr>
                <w:rFonts w:hint="default" w:ascii="Times New Roman" w:hAnsi="Times New Roman" w:cs="Times New Roman"/>
                <w:kern w:val="0"/>
                <w:sz w:val="20"/>
                <w:szCs w:val="20"/>
              </w:rPr>
              <w:br w:type="textWrapping"/>
            </w:r>
            <w:r>
              <w:rPr>
                <w:rFonts w:hint="default" w:ascii="Times New Roman" w:hAnsi="Times New Roman" w:cs="Times New Roman"/>
                <w:kern w:val="0"/>
                <w:sz w:val="20"/>
                <w:szCs w:val="20"/>
              </w:rPr>
              <w:t>15%-20%（含），得0.5分；</w:t>
            </w:r>
            <w:r>
              <w:rPr>
                <w:rFonts w:hint="default" w:ascii="Times New Roman" w:hAnsi="Times New Roman" w:cs="Times New Roman"/>
                <w:kern w:val="0"/>
                <w:sz w:val="20"/>
                <w:szCs w:val="20"/>
              </w:rPr>
              <w:br w:type="textWrapping"/>
            </w:r>
            <w:r>
              <w:rPr>
                <w:rFonts w:hint="default" w:ascii="Times New Roman" w:hAnsi="Times New Roman" w:cs="Times New Roman"/>
                <w:kern w:val="0"/>
                <w:sz w:val="20"/>
                <w:szCs w:val="20"/>
              </w:rPr>
              <w:t>＞20%，得0分。</w:t>
            </w:r>
          </w:p>
        </w:tc>
        <w:tc>
          <w:tcPr>
            <w:tcW w:w="726" w:type="dxa"/>
            <w:tcBorders>
              <w:top w:val="single" w:color="auto" w:sz="4" w:space="0"/>
              <w:left w:val="nil"/>
              <w:bottom w:val="single" w:color="auto" w:sz="4" w:space="0"/>
              <w:right w:val="single" w:color="auto" w:sz="4" w:space="0"/>
            </w:tcBorders>
            <w:noWrap/>
            <w:vAlign w:val="center"/>
          </w:tcPr>
          <w:p>
            <w:pPr>
              <w:widowControl/>
              <w:jc w:val="center"/>
              <w:rPr>
                <w:rFonts w:hint="eastAsia" w:ascii="Times New Roman" w:hAnsi="Times New Roman" w:eastAsia="宋体" w:cs="Times New Roman"/>
                <w:kern w:val="0"/>
                <w:sz w:val="24"/>
                <w:szCs w:val="24"/>
                <w:lang w:val="en-US" w:eastAsia="zh-CN"/>
              </w:rPr>
            </w:pPr>
            <w:r>
              <w:rPr>
                <w:rFonts w:hint="eastAsia" w:ascii="Times New Roman" w:hAnsi="Times New Roman" w:cs="Times New Roman"/>
                <w:kern w:val="0"/>
                <w:sz w:val="24"/>
                <w:szCs w:val="24"/>
                <w:lang w:val="en-US" w:eastAsia="zh-CN"/>
              </w:rPr>
              <w:t>2</w:t>
            </w:r>
          </w:p>
        </w:tc>
      </w:tr>
      <w:tr>
        <w:tblPrEx>
          <w:tblCellMar>
            <w:top w:w="0" w:type="dxa"/>
            <w:left w:w="108" w:type="dxa"/>
            <w:bottom w:w="0" w:type="dxa"/>
            <w:right w:w="108" w:type="dxa"/>
          </w:tblCellMar>
        </w:tblPrEx>
        <w:trPr>
          <w:trHeight w:val="2142" w:hRule="atLeast"/>
          <w:jc w:val="center"/>
        </w:trPr>
        <w:tc>
          <w:tcPr>
            <w:tcW w:w="73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p>
        </w:tc>
        <w:tc>
          <w:tcPr>
            <w:tcW w:w="63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p>
        </w:tc>
        <w:tc>
          <w:tcPr>
            <w:tcW w:w="54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p>
        </w:tc>
        <w:tc>
          <w:tcPr>
            <w:tcW w:w="676" w:type="dxa"/>
            <w:tcBorders>
              <w:top w:val="single" w:color="auto" w:sz="4" w:space="0"/>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支付进度率</w:t>
            </w:r>
          </w:p>
        </w:tc>
        <w:tc>
          <w:tcPr>
            <w:tcW w:w="516"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2</w:t>
            </w:r>
          </w:p>
        </w:tc>
        <w:tc>
          <w:tcPr>
            <w:tcW w:w="3342" w:type="dxa"/>
            <w:tcBorders>
              <w:top w:val="single" w:color="auto" w:sz="4" w:space="0"/>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 xml:space="preserve">  部门实际支付进度与既定支付进度的比率，用以反映和考核部门预算执行的及时性和均衡性程度。</w:t>
            </w:r>
            <w:r>
              <w:rPr>
                <w:rFonts w:hint="default" w:ascii="Times New Roman" w:hAnsi="Times New Roman" w:cs="Times New Roman"/>
                <w:kern w:val="0"/>
                <w:sz w:val="20"/>
                <w:szCs w:val="20"/>
              </w:rPr>
              <w:br w:type="textWrapping"/>
            </w:r>
            <w:r>
              <w:rPr>
                <w:rFonts w:hint="default" w:ascii="Times New Roman" w:hAnsi="Times New Roman" w:cs="Times New Roman"/>
                <w:kern w:val="0"/>
                <w:sz w:val="20"/>
                <w:szCs w:val="20"/>
              </w:rPr>
              <w:t xml:space="preserve">  支付进度率=（实际支付进度/既定支付进度）×100%。</w:t>
            </w:r>
            <w:r>
              <w:rPr>
                <w:rFonts w:hint="default" w:ascii="Times New Roman" w:hAnsi="Times New Roman" w:cs="Times New Roman"/>
                <w:kern w:val="0"/>
                <w:sz w:val="20"/>
                <w:szCs w:val="20"/>
              </w:rPr>
              <w:br w:type="textWrapping"/>
            </w:r>
            <w:r>
              <w:rPr>
                <w:rFonts w:hint="default" w:ascii="Times New Roman" w:hAnsi="Times New Roman" w:cs="Times New Roman"/>
                <w:kern w:val="0"/>
                <w:sz w:val="20"/>
                <w:szCs w:val="20"/>
              </w:rPr>
              <w:t xml:space="preserve">  实际支付进度：部门在某一时点的支出预算执行总数与年度支出预算数的比率。</w:t>
            </w:r>
            <w:r>
              <w:rPr>
                <w:rFonts w:hint="default" w:ascii="Times New Roman" w:hAnsi="Times New Roman" w:cs="Times New Roman"/>
                <w:kern w:val="0"/>
                <w:sz w:val="20"/>
                <w:szCs w:val="20"/>
              </w:rPr>
              <w:br w:type="textWrapping"/>
            </w:r>
            <w:r>
              <w:rPr>
                <w:rFonts w:hint="default" w:ascii="Times New Roman" w:hAnsi="Times New Roman" w:cs="Times New Roman"/>
                <w:kern w:val="0"/>
                <w:sz w:val="20"/>
                <w:szCs w:val="20"/>
              </w:rPr>
              <w:t xml:space="preserve">  既定支付进度：由部门在申报部门整体绩效目标时，参照序时支付进度、前三年支付进度、本级部门平均支付进度水平等确定的，在某一时点应达到的支付进度（比率）。</w:t>
            </w:r>
          </w:p>
        </w:tc>
        <w:tc>
          <w:tcPr>
            <w:tcW w:w="3036" w:type="dxa"/>
            <w:tcBorders>
              <w:top w:val="single" w:color="auto" w:sz="4" w:space="0"/>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支付进度率=100%，得2分；</w:t>
            </w:r>
            <w:r>
              <w:rPr>
                <w:rFonts w:hint="default" w:ascii="Times New Roman" w:hAnsi="Times New Roman" w:cs="Times New Roman"/>
                <w:kern w:val="0"/>
                <w:sz w:val="20"/>
                <w:szCs w:val="20"/>
              </w:rPr>
              <w:br w:type="textWrapping"/>
            </w:r>
            <w:r>
              <w:rPr>
                <w:rFonts w:hint="default" w:ascii="Times New Roman" w:hAnsi="Times New Roman" w:cs="Times New Roman"/>
                <w:kern w:val="0"/>
                <w:sz w:val="20"/>
                <w:szCs w:val="20"/>
              </w:rPr>
              <w:t>每超过（降低）5%，扣0.5分，扣完为止。</w:t>
            </w:r>
          </w:p>
        </w:tc>
        <w:tc>
          <w:tcPr>
            <w:tcW w:w="726" w:type="dxa"/>
            <w:tcBorders>
              <w:top w:val="single" w:color="auto" w:sz="4" w:space="0"/>
              <w:left w:val="nil"/>
              <w:bottom w:val="single" w:color="auto" w:sz="4" w:space="0"/>
              <w:right w:val="single" w:color="auto" w:sz="4" w:space="0"/>
            </w:tcBorders>
            <w:noWrap/>
            <w:vAlign w:val="center"/>
          </w:tcPr>
          <w:p>
            <w:pPr>
              <w:widowControl/>
              <w:jc w:val="center"/>
              <w:rPr>
                <w:rFonts w:hint="eastAsia" w:ascii="Times New Roman" w:hAnsi="Times New Roman" w:eastAsia="宋体" w:cs="Times New Roman"/>
                <w:kern w:val="0"/>
                <w:sz w:val="24"/>
                <w:szCs w:val="24"/>
                <w:lang w:val="en-US" w:eastAsia="zh-CN"/>
              </w:rPr>
            </w:pPr>
            <w:r>
              <w:rPr>
                <w:rFonts w:hint="eastAsia" w:ascii="Times New Roman" w:hAnsi="Times New Roman" w:cs="Times New Roman"/>
                <w:kern w:val="0"/>
                <w:sz w:val="24"/>
                <w:szCs w:val="24"/>
                <w:lang w:val="en-US" w:eastAsia="zh-CN"/>
              </w:rPr>
              <w:t>2</w:t>
            </w:r>
          </w:p>
        </w:tc>
      </w:tr>
      <w:tr>
        <w:tblPrEx>
          <w:tblCellMar>
            <w:top w:w="0" w:type="dxa"/>
            <w:left w:w="108" w:type="dxa"/>
            <w:bottom w:w="0" w:type="dxa"/>
            <w:right w:w="108" w:type="dxa"/>
          </w:tblCellMar>
        </w:tblPrEx>
        <w:trPr>
          <w:trHeight w:val="416" w:hRule="atLeast"/>
          <w:jc w:val="center"/>
        </w:trPr>
        <w:tc>
          <w:tcPr>
            <w:tcW w:w="73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p>
        </w:tc>
        <w:tc>
          <w:tcPr>
            <w:tcW w:w="63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p>
        </w:tc>
        <w:tc>
          <w:tcPr>
            <w:tcW w:w="54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p>
        </w:tc>
        <w:tc>
          <w:tcPr>
            <w:tcW w:w="676" w:type="dxa"/>
            <w:tcBorders>
              <w:top w:val="single" w:color="auto" w:sz="4" w:space="0"/>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结转结余变动率</w:t>
            </w:r>
          </w:p>
        </w:tc>
        <w:tc>
          <w:tcPr>
            <w:tcW w:w="516"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1</w:t>
            </w:r>
          </w:p>
        </w:tc>
        <w:tc>
          <w:tcPr>
            <w:tcW w:w="3342" w:type="dxa"/>
            <w:tcBorders>
              <w:top w:val="single" w:color="auto" w:sz="4" w:space="0"/>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 xml:space="preserve">  部门本年度结转结余资金总额与上年度结转结余资金总额的变动比率，用以反映和考核部门对控制结转结余资金的努力程度。</w:t>
            </w:r>
            <w:r>
              <w:rPr>
                <w:rFonts w:hint="default" w:ascii="Times New Roman" w:hAnsi="Times New Roman" w:cs="Times New Roman"/>
                <w:kern w:val="0"/>
                <w:sz w:val="20"/>
                <w:szCs w:val="20"/>
              </w:rPr>
              <w:br w:type="textWrapping"/>
            </w:r>
            <w:r>
              <w:rPr>
                <w:rFonts w:hint="default" w:ascii="Times New Roman" w:hAnsi="Times New Roman" w:cs="Times New Roman"/>
                <w:kern w:val="0"/>
                <w:sz w:val="20"/>
                <w:szCs w:val="20"/>
              </w:rPr>
              <w:t xml:space="preserve">  结转结余变动率=[（本年度累计结转结余资金总额-上年度累计结转结余资金总额）/上年度累计结转结余资金总额]×100%。</w:t>
            </w:r>
          </w:p>
        </w:tc>
        <w:tc>
          <w:tcPr>
            <w:tcW w:w="3036" w:type="dxa"/>
            <w:tcBorders>
              <w:top w:val="single" w:color="auto" w:sz="4" w:space="0"/>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结转结余变动率≤0，得1分；</w:t>
            </w:r>
            <w:r>
              <w:rPr>
                <w:rFonts w:hint="default" w:ascii="Times New Roman" w:hAnsi="Times New Roman" w:cs="Times New Roman"/>
                <w:kern w:val="0"/>
                <w:sz w:val="20"/>
                <w:szCs w:val="20"/>
              </w:rPr>
              <w:br w:type="textWrapping"/>
            </w:r>
            <w:r>
              <w:rPr>
                <w:rFonts w:hint="default" w:ascii="Times New Roman" w:hAnsi="Times New Roman" w:cs="Times New Roman"/>
                <w:kern w:val="0"/>
                <w:sz w:val="20"/>
                <w:szCs w:val="20"/>
              </w:rPr>
              <w:t>每超过5%，扣0.5分，扣完为止。</w:t>
            </w:r>
          </w:p>
        </w:tc>
        <w:tc>
          <w:tcPr>
            <w:tcW w:w="726" w:type="dxa"/>
            <w:tcBorders>
              <w:top w:val="single" w:color="auto" w:sz="4" w:space="0"/>
              <w:left w:val="nil"/>
              <w:bottom w:val="single" w:color="auto" w:sz="4" w:space="0"/>
              <w:right w:val="single" w:color="auto" w:sz="4" w:space="0"/>
            </w:tcBorders>
            <w:noWrap/>
            <w:vAlign w:val="center"/>
          </w:tcPr>
          <w:p>
            <w:pPr>
              <w:widowControl/>
              <w:jc w:val="center"/>
              <w:rPr>
                <w:rFonts w:hint="default" w:ascii="Times New Roman" w:hAnsi="Times New Roman" w:cs="Times New Roman"/>
                <w:kern w:val="0"/>
                <w:sz w:val="24"/>
                <w:szCs w:val="24"/>
              </w:rPr>
            </w:pPr>
            <w:r>
              <w:rPr>
                <w:rFonts w:hint="eastAsia" w:ascii="Times New Roman" w:hAnsi="Times New Roman" w:cs="Times New Roman"/>
                <w:kern w:val="0"/>
                <w:sz w:val="24"/>
                <w:szCs w:val="24"/>
                <w:lang w:val="en-US" w:eastAsia="zh-CN"/>
              </w:rPr>
              <w:t>1</w:t>
            </w:r>
          </w:p>
        </w:tc>
      </w:tr>
      <w:tr>
        <w:tblPrEx>
          <w:tblCellMar>
            <w:top w:w="0" w:type="dxa"/>
            <w:left w:w="108" w:type="dxa"/>
            <w:bottom w:w="0" w:type="dxa"/>
            <w:right w:w="108" w:type="dxa"/>
          </w:tblCellMar>
        </w:tblPrEx>
        <w:trPr>
          <w:trHeight w:val="1200" w:hRule="atLeast"/>
          <w:jc w:val="center"/>
        </w:trPr>
        <w:tc>
          <w:tcPr>
            <w:tcW w:w="73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p>
        </w:tc>
        <w:tc>
          <w:tcPr>
            <w:tcW w:w="63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p>
        </w:tc>
        <w:tc>
          <w:tcPr>
            <w:tcW w:w="54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p>
        </w:tc>
        <w:tc>
          <w:tcPr>
            <w:tcW w:w="676" w:type="dxa"/>
            <w:tcBorders>
              <w:top w:val="single" w:color="auto" w:sz="4" w:space="0"/>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公用经费控制率</w:t>
            </w:r>
          </w:p>
        </w:tc>
        <w:tc>
          <w:tcPr>
            <w:tcW w:w="516"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2</w:t>
            </w:r>
          </w:p>
        </w:tc>
        <w:tc>
          <w:tcPr>
            <w:tcW w:w="3342" w:type="dxa"/>
            <w:tcBorders>
              <w:top w:val="single" w:color="auto" w:sz="4" w:space="0"/>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 xml:space="preserve">  部门本年度实际支出的公用经费总额与预算安排的公用经费总额的比率，用以反映和考核部门对机构运转成本的实际控制程度。</w:t>
            </w:r>
            <w:r>
              <w:rPr>
                <w:rFonts w:hint="default" w:ascii="Times New Roman" w:hAnsi="Times New Roman" w:cs="Times New Roman"/>
                <w:kern w:val="0"/>
                <w:sz w:val="20"/>
                <w:szCs w:val="20"/>
              </w:rPr>
              <w:br w:type="textWrapping"/>
            </w:r>
            <w:r>
              <w:rPr>
                <w:rFonts w:hint="default" w:ascii="Times New Roman" w:hAnsi="Times New Roman" w:cs="Times New Roman"/>
                <w:kern w:val="0"/>
                <w:sz w:val="20"/>
                <w:szCs w:val="20"/>
              </w:rPr>
              <w:t xml:space="preserve">  公用经费控制率=（实际支出公用经费总额/预算安排公用经费总额）×100%。</w:t>
            </w:r>
          </w:p>
        </w:tc>
        <w:tc>
          <w:tcPr>
            <w:tcW w:w="3036" w:type="dxa"/>
            <w:tcBorders>
              <w:top w:val="single" w:color="auto" w:sz="4" w:space="0"/>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公用经费控制率≤100%，得2分；</w:t>
            </w:r>
            <w:r>
              <w:rPr>
                <w:rFonts w:hint="default" w:ascii="Times New Roman" w:hAnsi="Times New Roman" w:cs="Times New Roman"/>
                <w:kern w:val="0"/>
                <w:sz w:val="20"/>
                <w:szCs w:val="20"/>
              </w:rPr>
              <w:br w:type="textWrapping"/>
            </w:r>
            <w:r>
              <w:rPr>
                <w:rFonts w:hint="default" w:ascii="Times New Roman" w:hAnsi="Times New Roman" w:cs="Times New Roman"/>
                <w:kern w:val="0"/>
                <w:sz w:val="20"/>
                <w:szCs w:val="20"/>
              </w:rPr>
              <w:t>每超过5%，扣1分，扣完为止。</w:t>
            </w:r>
          </w:p>
        </w:tc>
        <w:tc>
          <w:tcPr>
            <w:tcW w:w="726" w:type="dxa"/>
            <w:tcBorders>
              <w:top w:val="single" w:color="auto" w:sz="4" w:space="0"/>
              <w:left w:val="nil"/>
              <w:bottom w:val="single" w:color="auto" w:sz="4" w:space="0"/>
              <w:right w:val="single" w:color="auto" w:sz="4" w:space="0"/>
            </w:tcBorders>
            <w:noWrap/>
            <w:vAlign w:val="center"/>
          </w:tcPr>
          <w:p>
            <w:pPr>
              <w:widowControl/>
              <w:jc w:val="center"/>
              <w:rPr>
                <w:rFonts w:hint="eastAsia" w:ascii="Times New Roman" w:hAnsi="Times New Roman" w:eastAsia="宋体" w:cs="Times New Roman"/>
                <w:kern w:val="0"/>
                <w:sz w:val="24"/>
                <w:szCs w:val="24"/>
                <w:lang w:val="en-US" w:eastAsia="zh-CN"/>
              </w:rPr>
            </w:pPr>
            <w:r>
              <w:rPr>
                <w:rFonts w:hint="eastAsia" w:ascii="Times New Roman" w:hAnsi="Times New Roman" w:cs="Times New Roman"/>
                <w:kern w:val="0"/>
                <w:sz w:val="24"/>
                <w:szCs w:val="24"/>
                <w:lang w:val="en-US" w:eastAsia="zh-CN"/>
              </w:rPr>
              <w:t>2</w:t>
            </w:r>
          </w:p>
        </w:tc>
      </w:tr>
      <w:tr>
        <w:tblPrEx>
          <w:tblCellMar>
            <w:top w:w="0" w:type="dxa"/>
            <w:left w:w="108" w:type="dxa"/>
            <w:bottom w:w="0" w:type="dxa"/>
            <w:right w:w="108" w:type="dxa"/>
          </w:tblCellMar>
        </w:tblPrEx>
        <w:trPr>
          <w:trHeight w:val="1159" w:hRule="atLeast"/>
          <w:jc w:val="center"/>
        </w:trPr>
        <w:tc>
          <w:tcPr>
            <w:tcW w:w="73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p>
        </w:tc>
        <w:tc>
          <w:tcPr>
            <w:tcW w:w="63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p>
        </w:tc>
        <w:tc>
          <w:tcPr>
            <w:tcW w:w="54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p>
        </w:tc>
        <w:tc>
          <w:tcPr>
            <w:tcW w:w="676" w:type="dxa"/>
            <w:tcBorders>
              <w:top w:val="single" w:color="auto" w:sz="4" w:space="0"/>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“三公经费”控制率</w:t>
            </w:r>
          </w:p>
        </w:tc>
        <w:tc>
          <w:tcPr>
            <w:tcW w:w="516"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1</w:t>
            </w:r>
          </w:p>
        </w:tc>
        <w:tc>
          <w:tcPr>
            <w:tcW w:w="3342" w:type="dxa"/>
            <w:tcBorders>
              <w:top w:val="single" w:color="auto" w:sz="4" w:space="0"/>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 xml:space="preserve">  部门本年度“三公经费”实际支出数与预算安排数的比率，用以反映和考核部门对“三公经费”的实际控制程度。</w:t>
            </w:r>
            <w:r>
              <w:rPr>
                <w:rFonts w:hint="default" w:ascii="Times New Roman" w:hAnsi="Times New Roman" w:cs="Times New Roman"/>
                <w:kern w:val="0"/>
                <w:sz w:val="20"/>
                <w:szCs w:val="20"/>
              </w:rPr>
              <w:br w:type="textWrapping"/>
            </w:r>
            <w:r>
              <w:rPr>
                <w:rFonts w:hint="default" w:ascii="Times New Roman" w:hAnsi="Times New Roman" w:cs="Times New Roman"/>
                <w:kern w:val="0"/>
                <w:sz w:val="20"/>
                <w:szCs w:val="20"/>
              </w:rPr>
              <w:t xml:space="preserve">  “三公经费”控制率=（“三公经费”实际支出数/“三公经费”预算安排数）×100%。</w:t>
            </w:r>
          </w:p>
        </w:tc>
        <w:tc>
          <w:tcPr>
            <w:tcW w:w="3036" w:type="dxa"/>
            <w:tcBorders>
              <w:top w:val="single" w:color="auto" w:sz="4" w:space="0"/>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“三公经费”控制率≤100%，得1分；</w:t>
            </w:r>
            <w:r>
              <w:rPr>
                <w:rFonts w:hint="default" w:ascii="Times New Roman" w:hAnsi="Times New Roman" w:cs="Times New Roman"/>
                <w:kern w:val="0"/>
                <w:sz w:val="20"/>
                <w:szCs w:val="20"/>
              </w:rPr>
              <w:br w:type="textWrapping"/>
            </w:r>
            <w:r>
              <w:rPr>
                <w:rFonts w:hint="default" w:ascii="Times New Roman" w:hAnsi="Times New Roman" w:cs="Times New Roman"/>
                <w:kern w:val="0"/>
                <w:sz w:val="20"/>
                <w:szCs w:val="20"/>
              </w:rPr>
              <w:t>每超过5%，扣0.5分，扣完为止。</w:t>
            </w:r>
          </w:p>
        </w:tc>
        <w:tc>
          <w:tcPr>
            <w:tcW w:w="726" w:type="dxa"/>
            <w:tcBorders>
              <w:top w:val="single" w:color="auto" w:sz="4" w:space="0"/>
              <w:left w:val="nil"/>
              <w:bottom w:val="single" w:color="auto" w:sz="4" w:space="0"/>
              <w:right w:val="single" w:color="auto" w:sz="4" w:space="0"/>
            </w:tcBorders>
            <w:noWrap/>
            <w:vAlign w:val="center"/>
          </w:tcPr>
          <w:p>
            <w:pPr>
              <w:widowControl/>
              <w:jc w:val="center"/>
              <w:rPr>
                <w:rFonts w:hint="eastAsia" w:ascii="Times New Roman" w:hAnsi="Times New Roman" w:eastAsia="宋体" w:cs="Times New Roman"/>
                <w:kern w:val="0"/>
                <w:sz w:val="24"/>
                <w:szCs w:val="24"/>
                <w:lang w:val="en-US" w:eastAsia="zh-CN"/>
              </w:rPr>
            </w:pPr>
            <w:r>
              <w:rPr>
                <w:rFonts w:hint="eastAsia" w:ascii="Times New Roman" w:hAnsi="Times New Roman" w:cs="Times New Roman"/>
                <w:kern w:val="0"/>
                <w:sz w:val="24"/>
                <w:szCs w:val="24"/>
                <w:lang w:val="en-US" w:eastAsia="zh-CN"/>
              </w:rPr>
              <w:t>1</w:t>
            </w:r>
          </w:p>
        </w:tc>
      </w:tr>
      <w:tr>
        <w:tblPrEx>
          <w:tblCellMar>
            <w:top w:w="0" w:type="dxa"/>
            <w:left w:w="108" w:type="dxa"/>
            <w:bottom w:w="0" w:type="dxa"/>
            <w:right w:w="108" w:type="dxa"/>
          </w:tblCellMar>
        </w:tblPrEx>
        <w:trPr>
          <w:trHeight w:val="1380" w:hRule="atLeast"/>
          <w:jc w:val="center"/>
        </w:trPr>
        <w:tc>
          <w:tcPr>
            <w:tcW w:w="73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p>
        </w:tc>
        <w:tc>
          <w:tcPr>
            <w:tcW w:w="63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p>
        </w:tc>
        <w:tc>
          <w:tcPr>
            <w:tcW w:w="54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p>
        </w:tc>
        <w:tc>
          <w:tcPr>
            <w:tcW w:w="676" w:type="dxa"/>
            <w:tcBorders>
              <w:top w:val="single" w:color="auto" w:sz="4" w:space="0"/>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政府采购执行率</w:t>
            </w:r>
          </w:p>
        </w:tc>
        <w:tc>
          <w:tcPr>
            <w:tcW w:w="516"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2</w:t>
            </w:r>
          </w:p>
        </w:tc>
        <w:tc>
          <w:tcPr>
            <w:tcW w:w="3342" w:type="dxa"/>
            <w:tcBorders>
              <w:top w:val="single" w:color="auto" w:sz="4" w:space="0"/>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 xml:space="preserve">  部门本年度实际政府采购金额与年初政府采购预算的比率，用以反映和考核部门政府采购预算执行情况。</w:t>
            </w:r>
            <w:r>
              <w:rPr>
                <w:rFonts w:hint="default" w:ascii="Times New Roman" w:hAnsi="Times New Roman" w:cs="Times New Roman"/>
                <w:kern w:val="0"/>
                <w:sz w:val="20"/>
                <w:szCs w:val="20"/>
              </w:rPr>
              <w:br w:type="textWrapping"/>
            </w:r>
            <w:r>
              <w:rPr>
                <w:rFonts w:hint="default" w:ascii="Times New Roman" w:hAnsi="Times New Roman" w:cs="Times New Roman"/>
                <w:kern w:val="0"/>
                <w:sz w:val="20"/>
                <w:szCs w:val="20"/>
              </w:rPr>
              <w:t xml:space="preserve">  政府采购执行率=（实际政府采购金额/政府采购预算数）×100%；</w:t>
            </w:r>
            <w:r>
              <w:rPr>
                <w:rFonts w:hint="default" w:ascii="Times New Roman" w:hAnsi="Times New Roman" w:cs="Times New Roman"/>
                <w:kern w:val="0"/>
                <w:sz w:val="20"/>
                <w:szCs w:val="20"/>
              </w:rPr>
              <w:br w:type="textWrapping"/>
            </w:r>
            <w:r>
              <w:rPr>
                <w:rFonts w:hint="default" w:ascii="Times New Roman" w:hAnsi="Times New Roman" w:cs="Times New Roman"/>
                <w:kern w:val="0"/>
                <w:sz w:val="20"/>
                <w:szCs w:val="20"/>
              </w:rPr>
              <w:t xml:space="preserve">  政府采购预算：采购机关根据事业发展计划和行政任务编制的、并经过规定程序批准的年度政府采购计划。 </w:t>
            </w:r>
          </w:p>
        </w:tc>
        <w:tc>
          <w:tcPr>
            <w:tcW w:w="3036" w:type="dxa"/>
            <w:tcBorders>
              <w:top w:val="single" w:color="auto" w:sz="4" w:space="0"/>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政府采购执行率=100%，得2分；</w:t>
            </w:r>
            <w:r>
              <w:rPr>
                <w:rFonts w:hint="default" w:ascii="Times New Roman" w:hAnsi="Times New Roman" w:cs="Times New Roman"/>
                <w:kern w:val="0"/>
                <w:sz w:val="20"/>
                <w:szCs w:val="20"/>
              </w:rPr>
              <w:br w:type="textWrapping"/>
            </w:r>
            <w:r>
              <w:rPr>
                <w:rFonts w:hint="default" w:ascii="Times New Roman" w:hAnsi="Times New Roman" w:cs="Times New Roman"/>
                <w:kern w:val="0"/>
                <w:sz w:val="20"/>
                <w:szCs w:val="20"/>
              </w:rPr>
              <w:t>每超过（降低）5%，扣1分，扣完为止。</w:t>
            </w:r>
          </w:p>
        </w:tc>
        <w:tc>
          <w:tcPr>
            <w:tcW w:w="726" w:type="dxa"/>
            <w:tcBorders>
              <w:top w:val="single" w:color="auto" w:sz="4" w:space="0"/>
              <w:left w:val="nil"/>
              <w:bottom w:val="single" w:color="auto" w:sz="4" w:space="0"/>
              <w:right w:val="single" w:color="auto" w:sz="4" w:space="0"/>
            </w:tcBorders>
            <w:noWrap/>
            <w:vAlign w:val="center"/>
          </w:tcPr>
          <w:p>
            <w:pPr>
              <w:widowControl/>
              <w:jc w:val="center"/>
              <w:rPr>
                <w:rFonts w:hint="default" w:ascii="Times New Roman" w:hAnsi="Times New Roman" w:cs="Times New Roman"/>
                <w:kern w:val="0"/>
                <w:sz w:val="24"/>
                <w:szCs w:val="24"/>
              </w:rPr>
            </w:pPr>
            <w:r>
              <w:rPr>
                <w:rFonts w:hint="eastAsia" w:ascii="Times New Roman" w:hAnsi="Times New Roman" w:cs="Times New Roman"/>
                <w:kern w:val="0"/>
                <w:sz w:val="24"/>
                <w:szCs w:val="24"/>
                <w:lang w:val="en-US" w:eastAsia="zh-CN"/>
              </w:rPr>
              <w:t>2</w:t>
            </w:r>
          </w:p>
        </w:tc>
      </w:tr>
      <w:tr>
        <w:tblPrEx>
          <w:tblCellMar>
            <w:top w:w="0" w:type="dxa"/>
            <w:left w:w="108" w:type="dxa"/>
            <w:bottom w:w="0" w:type="dxa"/>
            <w:right w:w="108" w:type="dxa"/>
          </w:tblCellMar>
        </w:tblPrEx>
        <w:trPr>
          <w:trHeight w:val="1819" w:hRule="atLeast"/>
          <w:jc w:val="center"/>
        </w:trPr>
        <w:tc>
          <w:tcPr>
            <w:tcW w:w="731"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spacing w:line="280" w:lineRule="exact"/>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过程</w:t>
            </w:r>
          </w:p>
        </w:tc>
        <w:tc>
          <w:tcPr>
            <w:tcW w:w="63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预算</w:t>
            </w:r>
            <w:r>
              <w:rPr>
                <w:rFonts w:hint="default" w:ascii="Times New Roman" w:hAnsi="Times New Roman" w:cs="Times New Roman"/>
                <w:kern w:val="0"/>
                <w:sz w:val="20"/>
                <w:szCs w:val="20"/>
              </w:rPr>
              <w:br w:type="textWrapping"/>
            </w:r>
            <w:r>
              <w:rPr>
                <w:rFonts w:hint="default" w:ascii="Times New Roman" w:hAnsi="Times New Roman" w:cs="Times New Roman"/>
                <w:kern w:val="0"/>
                <w:sz w:val="20"/>
                <w:szCs w:val="20"/>
              </w:rPr>
              <w:t>管理</w:t>
            </w:r>
          </w:p>
        </w:tc>
        <w:tc>
          <w:tcPr>
            <w:tcW w:w="54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9</w:t>
            </w:r>
          </w:p>
        </w:tc>
        <w:tc>
          <w:tcPr>
            <w:tcW w:w="676" w:type="dxa"/>
            <w:tcBorders>
              <w:top w:val="single" w:color="auto" w:sz="4" w:space="0"/>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管理制度健全性</w:t>
            </w:r>
          </w:p>
        </w:tc>
        <w:tc>
          <w:tcPr>
            <w:tcW w:w="516"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2</w:t>
            </w:r>
          </w:p>
        </w:tc>
        <w:tc>
          <w:tcPr>
            <w:tcW w:w="3342" w:type="dxa"/>
            <w:tcBorders>
              <w:top w:val="single" w:color="auto" w:sz="4" w:space="0"/>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 xml:space="preserve">  部门为加强预算管理、规范财务行为而制定的管理制度是否健全完整，用以反映和考核部门预算管理制度对完成主要职责或促进事业发展的保障情况。</w:t>
            </w:r>
          </w:p>
        </w:tc>
        <w:tc>
          <w:tcPr>
            <w:tcW w:w="3036" w:type="dxa"/>
            <w:tcBorders>
              <w:top w:val="single" w:color="auto" w:sz="4" w:space="0"/>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①是否已制定或具有预算资金管理办法、内部财务管理制度、会计核算制度、本部门厉行节约制度等管理制度；</w:t>
            </w:r>
            <w:r>
              <w:rPr>
                <w:rFonts w:hint="default" w:ascii="Times New Roman" w:hAnsi="Times New Roman" w:cs="Times New Roman"/>
                <w:kern w:val="0"/>
                <w:sz w:val="20"/>
                <w:szCs w:val="20"/>
              </w:rPr>
              <w:br w:type="textWrapping"/>
            </w:r>
            <w:r>
              <w:rPr>
                <w:rFonts w:hint="default" w:ascii="Times New Roman" w:hAnsi="Times New Roman" w:cs="Times New Roman"/>
                <w:kern w:val="0"/>
                <w:sz w:val="20"/>
                <w:szCs w:val="20"/>
              </w:rPr>
              <w:t>②相关管理制度是否合法、合规、完整；</w:t>
            </w:r>
            <w:r>
              <w:rPr>
                <w:rFonts w:hint="default" w:ascii="Times New Roman" w:hAnsi="Times New Roman" w:cs="Times New Roman"/>
                <w:kern w:val="0"/>
                <w:sz w:val="20"/>
                <w:szCs w:val="20"/>
              </w:rPr>
              <w:br w:type="textWrapping"/>
            </w:r>
            <w:r>
              <w:rPr>
                <w:rFonts w:hint="default" w:ascii="Times New Roman" w:hAnsi="Times New Roman" w:cs="Times New Roman"/>
                <w:kern w:val="0"/>
                <w:sz w:val="20"/>
                <w:szCs w:val="20"/>
              </w:rPr>
              <w:t>③相关管理制度是否得到有效执行。</w:t>
            </w:r>
            <w:r>
              <w:rPr>
                <w:rFonts w:hint="default" w:ascii="Times New Roman" w:hAnsi="Times New Roman" w:cs="Times New Roman"/>
                <w:kern w:val="0"/>
                <w:sz w:val="20"/>
                <w:szCs w:val="20"/>
              </w:rPr>
              <w:br w:type="textWrapping"/>
            </w:r>
            <w:r>
              <w:rPr>
                <w:rFonts w:hint="default" w:ascii="Times New Roman" w:hAnsi="Times New Roman" w:cs="Times New Roman"/>
                <w:kern w:val="0"/>
                <w:sz w:val="20"/>
                <w:szCs w:val="20"/>
              </w:rPr>
              <w:t>每发现一类不合规问题，扣1分，扣完为止。</w:t>
            </w:r>
          </w:p>
        </w:tc>
        <w:tc>
          <w:tcPr>
            <w:tcW w:w="726" w:type="dxa"/>
            <w:tcBorders>
              <w:top w:val="single" w:color="auto" w:sz="4" w:space="0"/>
              <w:left w:val="nil"/>
              <w:bottom w:val="single" w:color="auto" w:sz="4" w:space="0"/>
              <w:right w:val="single" w:color="auto" w:sz="4" w:space="0"/>
            </w:tcBorders>
            <w:noWrap/>
            <w:vAlign w:val="center"/>
          </w:tcPr>
          <w:p>
            <w:pPr>
              <w:widowControl/>
              <w:jc w:val="center"/>
              <w:rPr>
                <w:rFonts w:hint="eastAsia" w:ascii="Times New Roman" w:hAnsi="Times New Roman" w:eastAsia="宋体" w:cs="Times New Roman"/>
                <w:kern w:val="0"/>
                <w:sz w:val="24"/>
                <w:szCs w:val="24"/>
                <w:lang w:val="en-US" w:eastAsia="zh-CN"/>
              </w:rPr>
            </w:pPr>
            <w:r>
              <w:rPr>
                <w:rFonts w:hint="eastAsia" w:ascii="Times New Roman" w:hAnsi="Times New Roman" w:cs="Times New Roman"/>
                <w:kern w:val="0"/>
                <w:sz w:val="24"/>
                <w:szCs w:val="24"/>
                <w:lang w:val="en-US" w:eastAsia="zh-CN"/>
              </w:rPr>
              <w:t>2</w:t>
            </w:r>
          </w:p>
        </w:tc>
      </w:tr>
      <w:tr>
        <w:tblPrEx>
          <w:tblCellMar>
            <w:top w:w="0" w:type="dxa"/>
            <w:left w:w="108" w:type="dxa"/>
            <w:bottom w:w="0" w:type="dxa"/>
            <w:right w:w="108" w:type="dxa"/>
          </w:tblCellMar>
        </w:tblPrEx>
        <w:trPr>
          <w:trHeight w:val="2100" w:hRule="atLeast"/>
          <w:jc w:val="center"/>
        </w:trPr>
        <w:tc>
          <w:tcPr>
            <w:tcW w:w="73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p>
        </w:tc>
        <w:tc>
          <w:tcPr>
            <w:tcW w:w="63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p>
        </w:tc>
        <w:tc>
          <w:tcPr>
            <w:tcW w:w="54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p>
        </w:tc>
        <w:tc>
          <w:tcPr>
            <w:tcW w:w="676" w:type="dxa"/>
            <w:tcBorders>
              <w:top w:val="single" w:color="auto" w:sz="4" w:space="0"/>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资金使用合规性</w:t>
            </w:r>
          </w:p>
        </w:tc>
        <w:tc>
          <w:tcPr>
            <w:tcW w:w="516"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5</w:t>
            </w:r>
          </w:p>
        </w:tc>
        <w:tc>
          <w:tcPr>
            <w:tcW w:w="3342" w:type="dxa"/>
            <w:tcBorders>
              <w:top w:val="single" w:color="auto" w:sz="4" w:space="0"/>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 xml:space="preserve">  部门使用预算资金是否符合相关的预算财务管理制度的规定，用以反映和考核部门预算资金的规范运行情况。</w:t>
            </w:r>
          </w:p>
        </w:tc>
        <w:tc>
          <w:tcPr>
            <w:tcW w:w="3036" w:type="dxa"/>
            <w:tcBorders>
              <w:top w:val="single" w:color="auto" w:sz="4" w:space="0"/>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①是否符合国家财经法规和财务管理制度规定以及有关预算支出管理办法的规定；</w:t>
            </w:r>
            <w:r>
              <w:rPr>
                <w:rFonts w:hint="default" w:ascii="Times New Roman" w:hAnsi="Times New Roman" w:cs="Times New Roman"/>
                <w:kern w:val="0"/>
                <w:sz w:val="20"/>
                <w:szCs w:val="20"/>
              </w:rPr>
              <w:br w:type="textWrapping"/>
            </w:r>
            <w:r>
              <w:rPr>
                <w:rFonts w:hint="default" w:ascii="Times New Roman" w:hAnsi="Times New Roman" w:cs="Times New Roman"/>
                <w:kern w:val="0"/>
                <w:sz w:val="20"/>
                <w:szCs w:val="20"/>
              </w:rPr>
              <w:t>②资金的拨付是否有完整的审批程序和手续；</w:t>
            </w:r>
            <w:r>
              <w:rPr>
                <w:rFonts w:hint="default" w:ascii="Times New Roman" w:hAnsi="Times New Roman" w:cs="Times New Roman"/>
                <w:kern w:val="0"/>
                <w:sz w:val="20"/>
                <w:szCs w:val="20"/>
              </w:rPr>
              <w:br w:type="textWrapping"/>
            </w:r>
            <w:r>
              <w:rPr>
                <w:rFonts w:hint="default" w:ascii="Times New Roman" w:hAnsi="Times New Roman" w:cs="Times New Roman"/>
                <w:kern w:val="0"/>
                <w:sz w:val="20"/>
                <w:szCs w:val="20"/>
              </w:rPr>
              <w:t>③预算支出的重大开支是否经过评估论证；</w:t>
            </w:r>
            <w:r>
              <w:rPr>
                <w:rFonts w:hint="default" w:ascii="Times New Roman" w:hAnsi="Times New Roman" w:cs="Times New Roman"/>
                <w:kern w:val="0"/>
                <w:sz w:val="20"/>
                <w:szCs w:val="20"/>
              </w:rPr>
              <w:br w:type="textWrapping"/>
            </w:r>
            <w:r>
              <w:rPr>
                <w:rFonts w:hint="default" w:ascii="Times New Roman" w:hAnsi="Times New Roman" w:cs="Times New Roman"/>
                <w:kern w:val="0"/>
                <w:sz w:val="20"/>
                <w:szCs w:val="20"/>
              </w:rPr>
              <w:t>④是否符合部门预算批复的用途；</w:t>
            </w:r>
            <w:r>
              <w:rPr>
                <w:rFonts w:hint="default" w:ascii="Times New Roman" w:hAnsi="Times New Roman" w:cs="Times New Roman"/>
                <w:kern w:val="0"/>
                <w:sz w:val="20"/>
                <w:szCs w:val="20"/>
              </w:rPr>
              <w:br w:type="textWrapping"/>
            </w:r>
            <w:r>
              <w:rPr>
                <w:rFonts w:hint="default" w:ascii="Times New Roman" w:hAnsi="Times New Roman" w:cs="Times New Roman"/>
                <w:kern w:val="0"/>
                <w:sz w:val="20"/>
                <w:szCs w:val="20"/>
              </w:rPr>
              <w:t>⑤是否存在截留、挤占、挪用、虚列支出等情况。</w:t>
            </w:r>
            <w:r>
              <w:rPr>
                <w:rFonts w:hint="default" w:ascii="Times New Roman" w:hAnsi="Times New Roman" w:cs="Times New Roman"/>
                <w:kern w:val="0"/>
                <w:sz w:val="20"/>
                <w:szCs w:val="20"/>
              </w:rPr>
              <w:br w:type="textWrapping"/>
            </w:r>
            <w:r>
              <w:rPr>
                <w:rFonts w:hint="default" w:ascii="Times New Roman" w:hAnsi="Times New Roman" w:cs="Times New Roman"/>
                <w:kern w:val="0"/>
                <w:sz w:val="20"/>
                <w:szCs w:val="20"/>
              </w:rPr>
              <w:t>每发现一类不合规问题，扣2分，扣完为止。</w:t>
            </w:r>
          </w:p>
        </w:tc>
        <w:tc>
          <w:tcPr>
            <w:tcW w:w="726" w:type="dxa"/>
            <w:tcBorders>
              <w:top w:val="single" w:color="auto" w:sz="4" w:space="0"/>
              <w:left w:val="nil"/>
              <w:bottom w:val="single" w:color="auto" w:sz="4" w:space="0"/>
              <w:right w:val="single" w:color="auto" w:sz="4" w:space="0"/>
            </w:tcBorders>
            <w:noWrap/>
            <w:vAlign w:val="center"/>
          </w:tcPr>
          <w:p>
            <w:pPr>
              <w:widowControl/>
              <w:jc w:val="center"/>
              <w:rPr>
                <w:rFonts w:hint="eastAsia" w:ascii="Times New Roman" w:hAnsi="Times New Roman" w:eastAsia="宋体" w:cs="Times New Roman"/>
                <w:kern w:val="0"/>
                <w:sz w:val="24"/>
                <w:szCs w:val="24"/>
                <w:lang w:val="en-US" w:eastAsia="zh-CN"/>
              </w:rPr>
            </w:pPr>
            <w:r>
              <w:rPr>
                <w:rFonts w:hint="eastAsia" w:ascii="Times New Roman" w:hAnsi="Times New Roman" w:cs="Times New Roman"/>
                <w:kern w:val="0"/>
                <w:sz w:val="24"/>
                <w:szCs w:val="24"/>
                <w:lang w:val="en-US" w:eastAsia="zh-CN"/>
              </w:rPr>
              <w:t>5</w:t>
            </w:r>
          </w:p>
        </w:tc>
      </w:tr>
      <w:tr>
        <w:tblPrEx>
          <w:tblCellMar>
            <w:top w:w="0" w:type="dxa"/>
            <w:left w:w="108" w:type="dxa"/>
            <w:bottom w:w="0" w:type="dxa"/>
            <w:right w:w="108" w:type="dxa"/>
          </w:tblCellMar>
        </w:tblPrEx>
        <w:trPr>
          <w:trHeight w:val="1005" w:hRule="atLeast"/>
          <w:jc w:val="center"/>
        </w:trPr>
        <w:tc>
          <w:tcPr>
            <w:tcW w:w="73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p>
        </w:tc>
        <w:tc>
          <w:tcPr>
            <w:tcW w:w="63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p>
        </w:tc>
        <w:tc>
          <w:tcPr>
            <w:tcW w:w="54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p>
        </w:tc>
        <w:tc>
          <w:tcPr>
            <w:tcW w:w="676" w:type="dxa"/>
            <w:tcBorders>
              <w:top w:val="single" w:color="auto" w:sz="4" w:space="0"/>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预决算信息公开性</w:t>
            </w:r>
          </w:p>
        </w:tc>
        <w:tc>
          <w:tcPr>
            <w:tcW w:w="516"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1</w:t>
            </w:r>
          </w:p>
        </w:tc>
        <w:tc>
          <w:tcPr>
            <w:tcW w:w="3342" w:type="dxa"/>
            <w:tcBorders>
              <w:top w:val="single" w:color="auto" w:sz="4" w:space="0"/>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 xml:space="preserve">  部门是否按照政府信息公开有关规定公开相关预决算信息，用以反映和考核部门预决算管理的公开透明情况。</w:t>
            </w:r>
            <w:r>
              <w:rPr>
                <w:rFonts w:hint="default" w:ascii="Times New Roman" w:hAnsi="Times New Roman" w:cs="Times New Roman"/>
                <w:kern w:val="0"/>
                <w:sz w:val="20"/>
                <w:szCs w:val="20"/>
              </w:rPr>
              <w:br w:type="textWrapping"/>
            </w:r>
            <w:r>
              <w:rPr>
                <w:rFonts w:hint="default" w:ascii="Times New Roman" w:hAnsi="Times New Roman" w:cs="Times New Roman"/>
                <w:kern w:val="0"/>
                <w:sz w:val="20"/>
                <w:szCs w:val="20"/>
              </w:rPr>
              <w:t xml:space="preserve">  预决算信息是指与部门预算、执行、决算、监督、绩效等管理相关的信息。</w:t>
            </w:r>
          </w:p>
        </w:tc>
        <w:tc>
          <w:tcPr>
            <w:tcW w:w="3036" w:type="dxa"/>
            <w:tcBorders>
              <w:top w:val="single" w:color="auto" w:sz="4" w:space="0"/>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基础数据信息和会计信息资料是否真实、完整、准确。</w:t>
            </w:r>
            <w:r>
              <w:rPr>
                <w:rFonts w:hint="default" w:ascii="Times New Roman" w:hAnsi="Times New Roman" w:cs="Times New Roman"/>
                <w:kern w:val="0"/>
                <w:sz w:val="20"/>
                <w:szCs w:val="20"/>
              </w:rPr>
              <w:br w:type="textWrapping"/>
            </w:r>
            <w:r>
              <w:rPr>
                <w:rFonts w:hint="default" w:ascii="Times New Roman" w:hAnsi="Times New Roman" w:cs="Times New Roman"/>
                <w:kern w:val="0"/>
                <w:sz w:val="20"/>
                <w:szCs w:val="20"/>
              </w:rPr>
              <w:t>每发现一类不合规问题，扣0.5分，扣完为止。</w:t>
            </w:r>
          </w:p>
        </w:tc>
        <w:tc>
          <w:tcPr>
            <w:tcW w:w="726" w:type="dxa"/>
            <w:tcBorders>
              <w:top w:val="single" w:color="auto" w:sz="4" w:space="0"/>
              <w:left w:val="nil"/>
              <w:bottom w:val="single" w:color="auto" w:sz="4" w:space="0"/>
              <w:right w:val="single" w:color="auto" w:sz="4" w:space="0"/>
            </w:tcBorders>
            <w:noWrap/>
            <w:vAlign w:val="center"/>
          </w:tcPr>
          <w:p>
            <w:pPr>
              <w:widowControl/>
              <w:jc w:val="center"/>
              <w:rPr>
                <w:rFonts w:hint="eastAsia" w:ascii="Times New Roman" w:hAnsi="Times New Roman" w:eastAsia="宋体" w:cs="Times New Roman"/>
                <w:kern w:val="0"/>
                <w:sz w:val="24"/>
                <w:szCs w:val="24"/>
                <w:lang w:val="en-US" w:eastAsia="zh-CN"/>
              </w:rPr>
            </w:pPr>
            <w:r>
              <w:rPr>
                <w:rFonts w:hint="eastAsia" w:ascii="Times New Roman" w:hAnsi="Times New Roman" w:cs="Times New Roman"/>
                <w:kern w:val="0"/>
                <w:sz w:val="24"/>
                <w:szCs w:val="24"/>
                <w:lang w:val="en-US" w:eastAsia="zh-CN"/>
              </w:rPr>
              <w:t>1</w:t>
            </w:r>
          </w:p>
        </w:tc>
      </w:tr>
      <w:tr>
        <w:tblPrEx>
          <w:tblCellMar>
            <w:top w:w="0" w:type="dxa"/>
            <w:left w:w="108" w:type="dxa"/>
            <w:bottom w:w="0" w:type="dxa"/>
            <w:right w:w="108" w:type="dxa"/>
          </w:tblCellMar>
        </w:tblPrEx>
        <w:trPr>
          <w:trHeight w:val="702" w:hRule="atLeast"/>
          <w:jc w:val="center"/>
        </w:trPr>
        <w:tc>
          <w:tcPr>
            <w:tcW w:w="73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p>
        </w:tc>
        <w:tc>
          <w:tcPr>
            <w:tcW w:w="63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p>
        </w:tc>
        <w:tc>
          <w:tcPr>
            <w:tcW w:w="54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p>
        </w:tc>
        <w:tc>
          <w:tcPr>
            <w:tcW w:w="676" w:type="dxa"/>
            <w:tcBorders>
              <w:top w:val="single" w:color="auto" w:sz="4" w:space="0"/>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基础信息完善性</w:t>
            </w:r>
          </w:p>
        </w:tc>
        <w:tc>
          <w:tcPr>
            <w:tcW w:w="516"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1</w:t>
            </w:r>
          </w:p>
        </w:tc>
        <w:tc>
          <w:tcPr>
            <w:tcW w:w="3342" w:type="dxa"/>
            <w:tcBorders>
              <w:top w:val="single" w:color="auto" w:sz="4" w:space="0"/>
              <w:left w:val="nil"/>
              <w:bottom w:val="single" w:color="auto" w:sz="4" w:space="0"/>
              <w:right w:val="nil"/>
            </w:tcBorders>
            <w:noWrap/>
            <w:vAlign w:val="center"/>
          </w:tcPr>
          <w:p>
            <w:pPr>
              <w:widowControl/>
              <w:spacing w:line="280" w:lineRule="exact"/>
              <w:rPr>
                <w:rFonts w:hint="default" w:ascii="Times New Roman" w:hAnsi="Times New Roman" w:cs="Times New Roman"/>
                <w:kern w:val="0"/>
                <w:sz w:val="20"/>
                <w:szCs w:val="20"/>
              </w:rPr>
            </w:pPr>
            <w:r>
              <w:rPr>
                <w:rFonts w:hint="default" w:ascii="Times New Roman" w:hAnsi="Times New Roman" w:cs="Times New Roman"/>
                <w:kern w:val="0"/>
                <w:sz w:val="20"/>
                <w:szCs w:val="20"/>
              </w:rPr>
              <w:t xml:space="preserve">  部门基础信息是否完善，用以反映和考核基础信息对预算管理工作的支撑情况。</w:t>
            </w:r>
          </w:p>
        </w:tc>
        <w:tc>
          <w:tcPr>
            <w:tcW w:w="3036"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基础数据信息和会计信息资料真实、完整、准确，得1分。</w:t>
            </w:r>
          </w:p>
        </w:tc>
        <w:tc>
          <w:tcPr>
            <w:tcW w:w="726" w:type="dxa"/>
            <w:tcBorders>
              <w:top w:val="single" w:color="auto" w:sz="4" w:space="0"/>
              <w:left w:val="nil"/>
              <w:bottom w:val="single" w:color="auto" w:sz="4" w:space="0"/>
              <w:right w:val="single" w:color="auto" w:sz="4" w:space="0"/>
            </w:tcBorders>
            <w:noWrap/>
            <w:vAlign w:val="center"/>
          </w:tcPr>
          <w:p>
            <w:pPr>
              <w:widowControl/>
              <w:jc w:val="center"/>
              <w:rPr>
                <w:rFonts w:hint="eastAsia" w:ascii="Times New Roman" w:hAnsi="Times New Roman" w:eastAsia="宋体" w:cs="Times New Roman"/>
                <w:kern w:val="0"/>
                <w:sz w:val="24"/>
                <w:szCs w:val="24"/>
                <w:lang w:val="en-US" w:eastAsia="zh-CN"/>
              </w:rPr>
            </w:pPr>
            <w:r>
              <w:rPr>
                <w:rFonts w:hint="eastAsia" w:ascii="Times New Roman" w:hAnsi="Times New Roman" w:cs="Times New Roman"/>
                <w:kern w:val="0"/>
                <w:sz w:val="24"/>
                <w:szCs w:val="24"/>
                <w:lang w:val="en-US" w:eastAsia="zh-CN"/>
              </w:rPr>
              <w:t>1</w:t>
            </w:r>
          </w:p>
        </w:tc>
      </w:tr>
      <w:tr>
        <w:tblPrEx>
          <w:tblCellMar>
            <w:top w:w="0" w:type="dxa"/>
            <w:left w:w="108" w:type="dxa"/>
            <w:bottom w:w="0" w:type="dxa"/>
            <w:right w:w="108" w:type="dxa"/>
          </w:tblCellMar>
        </w:tblPrEx>
        <w:trPr>
          <w:trHeight w:val="900" w:hRule="atLeast"/>
          <w:jc w:val="center"/>
        </w:trPr>
        <w:tc>
          <w:tcPr>
            <w:tcW w:w="73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p>
        </w:tc>
        <w:tc>
          <w:tcPr>
            <w:tcW w:w="63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资产</w:t>
            </w:r>
            <w:r>
              <w:rPr>
                <w:rFonts w:hint="default" w:ascii="Times New Roman" w:hAnsi="Times New Roman" w:cs="Times New Roman"/>
                <w:kern w:val="0"/>
                <w:sz w:val="20"/>
                <w:szCs w:val="20"/>
              </w:rPr>
              <w:br w:type="textWrapping"/>
            </w:r>
            <w:r>
              <w:rPr>
                <w:rFonts w:hint="default" w:ascii="Times New Roman" w:hAnsi="Times New Roman" w:cs="Times New Roman"/>
                <w:kern w:val="0"/>
                <w:sz w:val="20"/>
                <w:szCs w:val="20"/>
              </w:rPr>
              <w:t>管理</w:t>
            </w:r>
          </w:p>
        </w:tc>
        <w:tc>
          <w:tcPr>
            <w:tcW w:w="54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3</w:t>
            </w:r>
          </w:p>
        </w:tc>
        <w:tc>
          <w:tcPr>
            <w:tcW w:w="676" w:type="dxa"/>
            <w:tcBorders>
              <w:top w:val="single" w:color="auto" w:sz="4" w:space="0"/>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管理制度健全性</w:t>
            </w:r>
          </w:p>
        </w:tc>
        <w:tc>
          <w:tcPr>
            <w:tcW w:w="516"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1</w:t>
            </w:r>
          </w:p>
        </w:tc>
        <w:tc>
          <w:tcPr>
            <w:tcW w:w="3342" w:type="dxa"/>
            <w:tcBorders>
              <w:top w:val="single" w:color="auto" w:sz="4" w:space="0"/>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 xml:space="preserve">  部门为加强资产管理、规范资产管理行为而制定的管理制度是否健全完整，用以反映和考核部门资产管理制度对完成主要职责或促进社会发展的保障情况。</w:t>
            </w:r>
          </w:p>
        </w:tc>
        <w:tc>
          <w:tcPr>
            <w:tcW w:w="3036" w:type="dxa"/>
            <w:tcBorders>
              <w:top w:val="single" w:color="auto" w:sz="4" w:space="0"/>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 xml:space="preserve">①已制定或具有资产管理制度，相关资金管理制度合法、合规、完整。得0.5分；           </w:t>
            </w:r>
            <w:r>
              <w:rPr>
                <w:rFonts w:hint="default" w:ascii="Times New Roman" w:hAnsi="Times New Roman" w:cs="Times New Roman"/>
                <w:kern w:val="0"/>
                <w:sz w:val="20"/>
                <w:szCs w:val="20"/>
              </w:rPr>
              <w:br w:type="textWrapping"/>
            </w:r>
            <w:r>
              <w:rPr>
                <w:rFonts w:hint="default" w:ascii="Times New Roman" w:hAnsi="Times New Roman" w:cs="Times New Roman"/>
                <w:kern w:val="0"/>
                <w:sz w:val="20"/>
                <w:szCs w:val="20"/>
              </w:rPr>
              <w:t>②相关资产管理制度得到有效执行，得0.5分。</w:t>
            </w:r>
          </w:p>
        </w:tc>
        <w:tc>
          <w:tcPr>
            <w:tcW w:w="726" w:type="dxa"/>
            <w:tcBorders>
              <w:top w:val="single" w:color="auto" w:sz="4" w:space="0"/>
              <w:left w:val="nil"/>
              <w:bottom w:val="single" w:color="auto" w:sz="4" w:space="0"/>
              <w:right w:val="single" w:color="auto" w:sz="4" w:space="0"/>
            </w:tcBorders>
            <w:noWrap/>
            <w:vAlign w:val="center"/>
          </w:tcPr>
          <w:p>
            <w:pPr>
              <w:widowControl/>
              <w:jc w:val="center"/>
              <w:rPr>
                <w:rFonts w:hint="eastAsia" w:ascii="Times New Roman" w:hAnsi="Times New Roman" w:eastAsia="宋体" w:cs="Times New Roman"/>
                <w:kern w:val="0"/>
                <w:sz w:val="24"/>
                <w:szCs w:val="24"/>
                <w:lang w:val="en-US" w:eastAsia="zh-CN"/>
              </w:rPr>
            </w:pPr>
            <w:r>
              <w:rPr>
                <w:rFonts w:hint="eastAsia" w:ascii="Times New Roman" w:hAnsi="Times New Roman" w:cs="Times New Roman"/>
                <w:kern w:val="0"/>
                <w:sz w:val="24"/>
                <w:szCs w:val="24"/>
                <w:lang w:val="en-US" w:eastAsia="zh-CN"/>
              </w:rPr>
              <w:t>1</w:t>
            </w:r>
          </w:p>
        </w:tc>
      </w:tr>
      <w:tr>
        <w:tblPrEx>
          <w:tblCellMar>
            <w:top w:w="0" w:type="dxa"/>
            <w:left w:w="108" w:type="dxa"/>
            <w:bottom w:w="0" w:type="dxa"/>
            <w:right w:w="108" w:type="dxa"/>
          </w:tblCellMar>
        </w:tblPrEx>
        <w:trPr>
          <w:trHeight w:val="1080" w:hRule="atLeast"/>
          <w:jc w:val="center"/>
        </w:trPr>
        <w:tc>
          <w:tcPr>
            <w:tcW w:w="73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p>
        </w:tc>
        <w:tc>
          <w:tcPr>
            <w:tcW w:w="63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p>
        </w:tc>
        <w:tc>
          <w:tcPr>
            <w:tcW w:w="54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p>
        </w:tc>
        <w:tc>
          <w:tcPr>
            <w:tcW w:w="676" w:type="dxa"/>
            <w:tcBorders>
              <w:top w:val="single" w:color="auto" w:sz="4" w:space="0"/>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资产管理安全性</w:t>
            </w:r>
          </w:p>
        </w:tc>
        <w:tc>
          <w:tcPr>
            <w:tcW w:w="516"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1</w:t>
            </w:r>
          </w:p>
        </w:tc>
        <w:tc>
          <w:tcPr>
            <w:tcW w:w="3342" w:type="dxa"/>
            <w:tcBorders>
              <w:top w:val="single" w:color="auto" w:sz="4" w:space="0"/>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 xml:space="preserve">  部门的资产是否保存完整、使用合规、配置合理、处置规范、收入及时足额上缴，用以反映和考核部门资产安全运行情况。</w:t>
            </w:r>
          </w:p>
        </w:tc>
        <w:tc>
          <w:tcPr>
            <w:tcW w:w="3036" w:type="dxa"/>
            <w:tcBorders>
              <w:top w:val="single" w:color="auto" w:sz="4" w:space="0"/>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①资产保存完整、配置合理、处置规范，得0.5分；</w:t>
            </w:r>
            <w:r>
              <w:rPr>
                <w:rFonts w:hint="default" w:ascii="Times New Roman" w:hAnsi="Times New Roman" w:cs="Times New Roman"/>
                <w:kern w:val="0"/>
                <w:sz w:val="20"/>
                <w:szCs w:val="20"/>
              </w:rPr>
              <w:br w:type="textWrapping"/>
            </w:r>
            <w:r>
              <w:rPr>
                <w:rFonts w:hint="default" w:ascii="Times New Roman" w:hAnsi="Times New Roman" w:cs="Times New Roman"/>
                <w:kern w:val="0"/>
                <w:sz w:val="20"/>
                <w:szCs w:val="20"/>
              </w:rPr>
              <w:t>②资产账务管理合规，帐实相符，资产有偿使用及处置收入及时足额上缴，得0.5分。</w:t>
            </w:r>
          </w:p>
        </w:tc>
        <w:tc>
          <w:tcPr>
            <w:tcW w:w="726" w:type="dxa"/>
            <w:tcBorders>
              <w:top w:val="single" w:color="auto" w:sz="4" w:space="0"/>
              <w:left w:val="nil"/>
              <w:bottom w:val="single" w:color="auto" w:sz="4" w:space="0"/>
              <w:right w:val="single" w:color="auto" w:sz="4" w:space="0"/>
            </w:tcBorders>
            <w:noWrap/>
            <w:vAlign w:val="center"/>
          </w:tcPr>
          <w:p>
            <w:pPr>
              <w:widowControl/>
              <w:jc w:val="center"/>
              <w:rPr>
                <w:rFonts w:hint="eastAsia" w:ascii="Times New Roman" w:hAnsi="Times New Roman" w:eastAsia="宋体" w:cs="Times New Roman"/>
                <w:kern w:val="0"/>
                <w:sz w:val="24"/>
                <w:szCs w:val="24"/>
                <w:lang w:val="en-US" w:eastAsia="zh-CN"/>
              </w:rPr>
            </w:pPr>
            <w:r>
              <w:rPr>
                <w:rFonts w:hint="eastAsia" w:ascii="Times New Roman" w:hAnsi="Times New Roman" w:cs="Times New Roman"/>
                <w:kern w:val="0"/>
                <w:sz w:val="24"/>
                <w:szCs w:val="24"/>
                <w:lang w:val="en-US" w:eastAsia="zh-CN"/>
              </w:rPr>
              <w:t>1</w:t>
            </w:r>
          </w:p>
        </w:tc>
      </w:tr>
      <w:tr>
        <w:tblPrEx>
          <w:tblCellMar>
            <w:top w:w="0" w:type="dxa"/>
            <w:left w:w="108" w:type="dxa"/>
            <w:bottom w:w="0" w:type="dxa"/>
            <w:right w:w="108" w:type="dxa"/>
          </w:tblCellMar>
        </w:tblPrEx>
        <w:trPr>
          <w:trHeight w:val="1080" w:hRule="atLeast"/>
          <w:jc w:val="center"/>
        </w:trPr>
        <w:tc>
          <w:tcPr>
            <w:tcW w:w="73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p>
        </w:tc>
        <w:tc>
          <w:tcPr>
            <w:tcW w:w="63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p>
        </w:tc>
        <w:tc>
          <w:tcPr>
            <w:tcW w:w="54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p>
        </w:tc>
        <w:tc>
          <w:tcPr>
            <w:tcW w:w="676" w:type="dxa"/>
            <w:tcBorders>
              <w:top w:val="single" w:color="auto" w:sz="4" w:space="0"/>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固定资产利用率</w:t>
            </w:r>
          </w:p>
        </w:tc>
        <w:tc>
          <w:tcPr>
            <w:tcW w:w="516"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1</w:t>
            </w:r>
          </w:p>
        </w:tc>
        <w:tc>
          <w:tcPr>
            <w:tcW w:w="3342" w:type="dxa"/>
            <w:tcBorders>
              <w:top w:val="single" w:color="auto" w:sz="4" w:space="0"/>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 xml:space="preserve">  实际在用固定资产总额与所有固定资产总额的比率，用以反映和考核部门固定资产使用效率程度。</w:t>
            </w:r>
            <w:r>
              <w:rPr>
                <w:rFonts w:hint="default" w:ascii="Times New Roman" w:hAnsi="Times New Roman" w:cs="Times New Roman"/>
                <w:kern w:val="0"/>
                <w:sz w:val="20"/>
                <w:szCs w:val="20"/>
              </w:rPr>
              <w:br w:type="textWrapping"/>
            </w:r>
            <w:r>
              <w:rPr>
                <w:rFonts w:hint="default" w:ascii="Times New Roman" w:hAnsi="Times New Roman" w:cs="Times New Roman"/>
                <w:kern w:val="0"/>
                <w:sz w:val="20"/>
                <w:szCs w:val="20"/>
              </w:rPr>
              <w:t xml:space="preserve">  固定资产利用率=（实际在用固定资产总额/所有固定资产总额）×100%。</w:t>
            </w:r>
          </w:p>
        </w:tc>
        <w:tc>
          <w:tcPr>
            <w:tcW w:w="3036" w:type="dxa"/>
            <w:tcBorders>
              <w:top w:val="single" w:color="auto" w:sz="4" w:space="0"/>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固定资产利用率=100%，得1分；</w:t>
            </w:r>
            <w:r>
              <w:rPr>
                <w:rFonts w:hint="default" w:ascii="Times New Roman" w:hAnsi="Times New Roman" w:cs="Times New Roman"/>
                <w:kern w:val="0"/>
                <w:sz w:val="20"/>
                <w:szCs w:val="20"/>
              </w:rPr>
              <w:br w:type="textWrapping"/>
            </w:r>
            <w:r>
              <w:rPr>
                <w:rFonts w:hint="default" w:ascii="Times New Roman" w:hAnsi="Times New Roman" w:cs="Times New Roman"/>
                <w:kern w:val="0"/>
                <w:sz w:val="20"/>
                <w:szCs w:val="20"/>
              </w:rPr>
              <w:t>每低一个百分点，扣0.1分，扣完为止。</w:t>
            </w:r>
          </w:p>
        </w:tc>
        <w:tc>
          <w:tcPr>
            <w:tcW w:w="726" w:type="dxa"/>
            <w:tcBorders>
              <w:top w:val="single" w:color="auto" w:sz="4" w:space="0"/>
              <w:left w:val="nil"/>
              <w:bottom w:val="single" w:color="auto" w:sz="4" w:space="0"/>
              <w:right w:val="single" w:color="auto" w:sz="4" w:space="0"/>
            </w:tcBorders>
            <w:noWrap/>
            <w:vAlign w:val="center"/>
          </w:tcPr>
          <w:p>
            <w:pPr>
              <w:widowControl/>
              <w:jc w:val="center"/>
              <w:rPr>
                <w:rFonts w:hint="eastAsia" w:ascii="Times New Roman" w:hAnsi="Times New Roman" w:eastAsia="宋体" w:cs="Times New Roman"/>
                <w:kern w:val="0"/>
                <w:sz w:val="24"/>
                <w:szCs w:val="24"/>
                <w:lang w:val="en-US" w:eastAsia="zh-CN"/>
              </w:rPr>
            </w:pPr>
            <w:r>
              <w:rPr>
                <w:rFonts w:hint="eastAsia" w:ascii="Times New Roman" w:hAnsi="Times New Roman" w:cs="Times New Roman"/>
                <w:kern w:val="0"/>
                <w:sz w:val="24"/>
                <w:szCs w:val="24"/>
                <w:lang w:val="en-US" w:eastAsia="zh-CN"/>
              </w:rPr>
              <w:t>1</w:t>
            </w:r>
          </w:p>
        </w:tc>
      </w:tr>
      <w:tr>
        <w:tblPrEx>
          <w:tblCellMar>
            <w:top w:w="0" w:type="dxa"/>
            <w:left w:w="108" w:type="dxa"/>
            <w:bottom w:w="0" w:type="dxa"/>
            <w:right w:w="108" w:type="dxa"/>
          </w:tblCellMar>
        </w:tblPrEx>
        <w:trPr>
          <w:trHeight w:val="1920" w:hRule="atLeast"/>
          <w:jc w:val="center"/>
        </w:trPr>
        <w:tc>
          <w:tcPr>
            <w:tcW w:w="731"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spacing w:line="280" w:lineRule="exact"/>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产出</w:t>
            </w:r>
          </w:p>
        </w:tc>
        <w:tc>
          <w:tcPr>
            <w:tcW w:w="63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职责</w:t>
            </w:r>
            <w:r>
              <w:rPr>
                <w:rFonts w:hint="default" w:ascii="Times New Roman" w:hAnsi="Times New Roman" w:cs="Times New Roman"/>
                <w:kern w:val="0"/>
                <w:sz w:val="20"/>
                <w:szCs w:val="20"/>
              </w:rPr>
              <w:br w:type="textWrapping"/>
            </w:r>
            <w:r>
              <w:rPr>
                <w:rFonts w:hint="default" w:ascii="Times New Roman" w:hAnsi="Times New Roman" w:cs="Times New Roman"/>
                <w:kern w:val="0"/>
                <w:sz w:val="20"/>
                <w:szCs w:val="20"/>
              </w:rPr>
              <w:t>履行</w:t>
            </w:r>
          </w:p>
        </w:tc>
        <w:tc>
          <w:tcPr>
            <w:tcW w:w="54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30</w:t>
            </w:r>
          </w:p>
        </w:tc>
        <w:tc>
          <w:tcPr>
            <w:tcW w:w="676" w:type="dxa"/>
            <w:tcBorders>
              <w:top w:val="single" w:color="auto" w:sz="4" w:space="0"/>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实际完成率</w:t>
            </w:r>
          </w:p>
        </w:tc>
        <w:tc>
          <w:tcPr>
            <w:tcW w:w="51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24</w:t>
            </w:r>
          </w:p>
        </w:tc>
        <w:tc>
          <w:tcPr>
            <w:tcW w:w="3342" w:type="dxa"/>
            <w:tcBorders>
              <w:top w:val="single" w:color="auto" w:sz="4" w:space="0"/>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 xml:space="preserve">  部门履行职责而实际完成工作数与计划工作数的比率，用以反映和考核部门履职工作任务目标的实现程度。</w:t>
            </w:r>
            <w:r>
              <w:rPr>
                <w:rFonts w:hint="default" w:ascii="Times New Roman" w:hAnsi="Times New Roman" w:cs="Times New Roman"/>
                <w:kern w:val="0"/>
                <w:sz w:val="20"/>
                <w:szCs w:val="20"/>
              </w:rPr>
              <w:br w:type="textWrapping"/>
            </w:r>
            <w:r>
              <w:rPr>
                <w:rFonts w:hint="default" w:ascii="Times New Roman" w:hAnsi="Times New Roman" w:cs="Times New Roman"/>
                <w:kern w:val="0"/>
                <w:sz w:val="20"/>
                <w:szCs w:val="20"/>
              </w:rPr>
              <w:t xml:space="preserve">  实际完成率=（实际完成工作数/计划工作数）×100%。</w:t>
            </w:r>
            <w:r>
              <w:rPr>
                <w:rFonts w:hint="default" w:ascii="Times New Roman" w:hAnsi="Times New Roman" w:cs="Times New Roman"/>
                <w:kern w:val="0"/>
                <w:sz w:val="20"/>
                <w:szCs w:val="20"/>
              </w:rPr>
              <w:br w:type="textWrapping"/>
            </w:r>
            <w:r>
              <w:rPr>
                <w:rFonts w:hint="default" w:ascii="Times New Roman" w:hAnsi="Times New Roman" w:cs="Times New Roman"/>
                <w:kern w:val="0"/>
                <w:sz w:val="20"/>
                <w:szCs w:val="20"/>
              </w:rPr>
              <w:t xml:space="preserve">  实际完成工作数：一定时期（年度或规划期）内部门实际完成工作任务的数量。</w:t>
            </w:r>
            <w:r>
              <w:rPr>
                <w:rFonts w:hint="default" w:ascii="Times New Roman" w:hAnsi="Times New Roman" w:cs="Times New Roman"/>
                <w:kern w:val="0"/>
                <w:sz w:val="20"/>
                <w:szCs w:val="20"/>
              </w:rPr>
              <w:br w:type="textWrapping"/>
            </w:r>
            <w:r>
              <w:rPr>
                <w:rFonts w:hint="default" w:ascii="Times New Roman" w:hAnsi="Times New Roman" w:cs="Times New Roman"/>
                <w:kern w:val="0"/>
                <w:sz w:val="20"/>
                <w:szCs w:val="20"/>
              </w:rPr>
              <w:t xml:space="preserve">  计划工作数：部门整体绩效目标确定的一定时期（年度或规划期）内预计完成工作任务的数量。</w:t>
            </w:r>
          </w:p>
        </w:tc>
        <w:tc>
          <w:tcPr>
            <w:tcW w:w="3036" w:type="dxa"/>
            <w:tcBorders>
              <w:top w:val="single" w:color="auto" w:sz="4" w:space="0"/>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　</w:t>
            </w:r>
          </w:p>
        </w:tc>
        <w:tc>
          <w:tcPr>
            <w:tcW w:w="726" w:type="dxa"/>
            <w:tcBorders>
              <w:top w:val="single" w:color="auto" w:sz="4" w:space="0"/>
              <w:left w:val="nil"/>
              <w:bottom w:val="single" w:color="auto" w:sz="4" w:space="0"/>
              <w:right w:val="single" w:color="auto" w:sz="4" w:space="0"/>
            </w:tcBorders>
            <w:noWrap/>
            <w:vAlign w:val="center"/>
          </w:tcPr>
          <w:p>
            <w:pPr>
              <w:widowControl/>
              <w:jc w:val="center"/>
              <w:rPr>
                <w:rFonts w:hint="default" w:ascii="Times New Roman" w:hAnsi="Times New Roman" w:eastAsia="宋体" w:cs="Times New Roman"/>
                <w:kern w:val="0"/>
                <w:sz w:val="24"/>
                <w:szCs w:val="24"/>
                <w:lang w:val="en-US" w:eastAsia="zh-CN"/>
              </w:rPr>
            </w:pPr>
            <w:r>
              <w:rPr>
                <w:rFonts w:hint="eastAsia" w:ascii="Times New Roman" w:hAnsi="Times New Roman" w:cs="Times New Roman"/>
                <w:kern w:val="0"/>
                <w:sz w:val="24"/>
                <w:szCs w:val="24"/>
                <w:lang w:val="en-US" w:eastAsia="zh-CN"/>
              </w:rPr>
              <w:t>21</w:t>
            </w:r>
          </w:p>
        </w:tc>
      </w:tr>
      <w:tr>
        <w:tblPrEx>
          <w:tblCellMar>
            <w:top w:w="0" w:type="dxa"/>
            <w:left w:w="108" w:type="dxa"/>
            <w:bottom w:w="0" w:type="dxa"/>
            <w:right w:w="108" w:type="dxa"/>
          </w:tblCellMar>
        </w:tblPrEx>
        <w:trPr>
          <w:trHeight w:val="1459" w:hRule="atLeast"/>
          <w:jc w:val="center"/>
        </w:trPr>
        <w:tc>
          <w:tcPr>
            <w:tcW w:w="73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p>
        </w:tc>
        <w:tc>
          <w:tcPr>
            <w:tcW w:w="63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p>
        </w:tc>
        <w:tc>
          <w:tcPr>
            <w:tcW w:w="54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p>
        </w:tc>
        <w:tc>
          <w:tcPr>
            <w:tcW w:w="676" w:type="dxa"/>
            <w:tcBorders>
              <w:top w:val="single" w:color="auto" w:sz="4" w:space="0"/>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完成及时率</w:t>
            </w:r>
          </w:p>
        </w:tc>
        <w:tc>
          <w:tcPr>
            <w:tcW w:w="51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p>
        </w:tc>
        <w:tc>
          <w:tcPr>
            <w:tcW w:w="3342" w:type="dxa"/>
            <w:tcBorders>
              <w:top w:val="single" w:color="auto" w:sz="4" w:space="0"/>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 xml:space="preserve">  部门在规定时限内及时完成的实际工作数与计划工作数的比率,用以反映和考核部门履职时效目标的实现程度。</w:t>
            </w:r>
            <w:r>
              <w:rPr>
                <w:rFonts w:hint="default" w:ascii="Times New Roman" w:hAnsi="Times New Roman" w:cs="Times New Roman"/>
                <w:kern w:val="0"/>
                <w:sz w:val="20"/>
                <w:szCs w:val="20"/>
              </w:rPr>
              <w:br w:type="textWrapping"/>
            </w:r>
            <w:r>
              <w:rPr>
                <w:rFonts w:hint="default" w:ascii="Times New Roman" w:hAnsi="Times New Roman" w:cs="Times New Roman"/>
                <w:kern w:val="0"/>
                <w:sz w:val="20"/>
                <w:szCs w:val="20"/>
              </w:rPr>
              <w:t xml:space="preserve">  完成及时率=（及时完成实际工作数/计划工作数）×100%。</w:t>
            </w:r>
            <w:r>
              <w:rPr>
                <w:rFonts w:hint="default" w:ascii="Times New Roman" w:hAnsi="Times New Roman" w:cs="Times New Roman"/>
                <w:kern w:val="0"/>
                <w:sz w:val="20"/>
                <w:szCs w:val="20"/>
              </w:rPr>
              <w:br w:type="textWrapping"/>
            </w:r>
            <w:r>
              <w:rPr>
                <w:rFonts w:hint="default" w:ascii="Times New Roman" w:hAnsi="Times New Roman" w:cs="Times New Roman"/>
                <w:kern w:val="0"/>
                <w:sz w:val="20"/>
                <w:szCs w:val="20"/>
              </w:rPr>
              <w:t xml:space="preserve">  及时完成实际工作数：部门按照整体绩效目标确定的时限实际完成的工作任务数量。</w:t>
            </w:r>
          </w:p>
        </w:tc>
        <w:tc>
          <w:tcPr>
            <w:tcW w:w="3036" w:type="dxa"/>
            <w:tcBorders>
              <w:top w:val="single" w:color="auto" w:sz="4" w:space="0"/>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　</w:t>
            </w:r>
          </w:p>
        </w:tc>
        <w:tc>
          <w:tcPr>
            <w:tcW w:w="726" w:type="dxa"/>
            <w:tcBorders>
              <w:top w:val="single" w:color="auto" w:sz="4" w:space="0"/>
              <w:left w:val="nil"/>
              <w:bottom w:val="single" w:color="auto" w:sz="4" w:space="0"/>
              <w:right w:val="single" w:color="auto" w:sz="4" w:space="0"/>
            </w:tcBorders>
            <w:noWrap/>
            <w:vAlign w:val="center"/>
          </w:tcPr>
          <w:p>
            <w:pPr>
              <w:widowControl/>
              <w:jc w:val="center"/>
              <w:rPr>
                <w:rFonts w:hint="default" w:ascii="Times New Roman" w:hAnsi="Times New Roman" w:cs="Times New Roman"/>
                <w:kern w:val="0"/>
                <w:sz w:val="24"/>
                <w:szCs w:val="24"/>
              </w:rPr>
            </w:pPr>
          </w:p>
        </w:tc>
      </w:tr>
      <w:tr>
        <w:tblPrEx>
          <w:tblCellMar>
            <w:top w:w="0" w:type="dxa"/>
            <w:left w:w="108" w:type="dxa"/>
            <w:bottom w:w="0" w:type="dxa"/>
            <w:right w:w="108" w:type="dxa"/>
          </w:tblCellMar>
        </w:tblPrEx>
        <w:trPr>
          <w:trHeight w:val="1482" w:hRule="atLeast"/>
          <w:jc w:val="center"/>
        </w:trPr>
        <w:tc>
          <w:tcPr>
            <w:tcW w:w="73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p>
        </w:tc>
        <w:tc>
          <w:tcPr>
            <w:tcW w:w="63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p>
        </w:tc>
        <w:tc>
          <w:tcPr>
            <w:tcW w:w="54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p>
        </w:tc>
        <w:tc>
          <w:tcPr>
            <w:tcW w:w="676" w:type="dxa"/>
            <w:tcBorders>
              <w:top w:val="single" w:color="auto" w:sz="4" w:space="0"/>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质量达标率</w:t>
            </w:r>
          </w:p>
        </w:tc>
        <w:tc>
          <w:tcPr>
            <w:tcW w:w="51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p>
        </w:tc>
        <w:tc>
          <w:tcPr>
            <w:tcW w:w="3342" w:type="dxa"/>
            <w:tcBorders>
              <w:top w:val="single" w:color="auto" w:sz="4" w:space="0"/>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 xml:space="preserve">  达到质量标准（绩效标准值）的实际工作数与计划工作数的比率,用以反映和考核部门履职质量目标的实现程度。</w:t>
            </w:r>
            <w:r>
              <w:rPr>
                <w:rFonts w:hint="default" w:ascii="Times New Roman" w:hAnsi="Times New Roman" w:cs="Times New Roman"/>
                <w:kern w:val="0"/>
                <w:sz w:val="20"/>
                <w:szCs w:val="20"/>
              </w:rPr>
              <w:br w:type="textWrapping"/>
            </w:r>
            <w:r>
              <w:rPr>
                <w:rFonts w:hint="default" w:ascii="Times New Roman" w:hAnsi="Times New Roman" w:cs="Times New Roman"/>
                <w:kern w:val="0"/>
                <w:sz w:val="20"/>
                <w:szCs w:val="20"/>
              </w:rPr>
              <w:t xml:space="preserve">  质量达标率=（质量达标实际工作数/计划工作数）×100%。</w:t>
            </w:r>
            <w:r>
              <w:rPr>
                <w:rFonts w:hint="default" w:ascii="Times New Roman" w:hAnsi="Times New Roman" w:cs="Times New Roman"/>
                <w:kern w:val="0"/>
                <w:sz w:val="20"/>
                <w:szCs w:val="20"/>
              </w:rPr>
              <w:br w:type="textWrapping"/>
            </w:r>
            <w:r>
              <w:rPr>
                <w:rFonts w:hint="default" w:ascii="Times New Roman" w:hAnsi="Times New Roman" w:cs="Times New Roman"/>
                <w:kern w:val="0"/>
                <w:sz w:val="20"/>
                <w:szCs w:val="20"/>
              </w:rPr>
              <w:t xml:space="preserve">  质量达标实际工作数：一定时期（年度或规划期）内部门实际完成工作数中达到部门绩效目标要求（绩效标准值）的工作任务数量。</w:t>
            </w:r>
          </w:p>
        </w:tc>
        <w:tc>
          <w:tcPr>
            <w:tcW w:w="3036" w:type="dxa"/>
            <w:tcBorders>
              <w:top w:val="single" w:color="auto" w:sz="4" w:space="0"/>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　</w:t>
            </w:r>
          </w:p>
        </w:tc>
        <w:tc>
          <w:tcPr>
            <w:tcW w:w="726" w:type="dxa"/>
            <w:tcBorders>
              <w:top w:val="single" w:color="auto" w:sz="4" w:space="0"/>
              <w:left w:val="nil"/>
              <w:bottom w:val="single" w:color="auto" w:sz="4" w:space="0"/>
              <w:right w:val="single" w:color="auto" w:sz="4" w:space="0"/>
            </w:tcBorders>
            <w:noWrap/>
            <w:vAlign w:val="center"/>
          </w:tcPr>
          <w:p>
            <w:pPr>
              <w:widowControl/>
              <w:jc w:val="center"/>
              <w:rPr>
                <w:rFonts w:hint="default" w:ascii="Times New Roman" w:hAnsi="Times New Roman" w:cs="Times New Roman"/>
                <w:kern w:val="0"/>
                <w:sz w:val="24"/>
                <w:szCs w:val="24"/>
              </w:rPr>
            </w:pPr>
          </w:p>
        </w:tc>
      </w:tr>
      <w:tr>
        <w:tblPrEx>
          <w:tblCellMar>
            <w:top w:w="0" w:type="dxa"/>
            <w:left w:w="108" w:type="dxa"/>
            <w:bottom w:w="0" w:type="dxa"/>
            <w:right w:w="108" w:type="dxa"/>
          </w:tblCellMar>
        </w:tblPrEx>
        <w:trPr>
          <w:trHeight w:val="1020" w:hRule="atLeast"/>
          <w:jc w:val="center"/>
        </w:trPr>
        <w:tc>
          <w:tcPr>
            <w:tcW w:w="73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p>
        </w:tc>
        <w:tc>
          <w:tcPr>
            <w:tcW w:w="63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p>
        </w:tc>
        <w:tc>
          <w:tcPr>
            <w:tcW w:w="54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p>
        </w:tc>
        <w:tc>
          <w:tcPr>
            <w:tcW w:w="676" w:type="dxa"/>
            <w:tcBorders>
              <w:top w:val="single" w:color="auto" w:sz="4" w:space="0"/>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重点工作办结率</w:t>
            </w:r>
          </w:p>
        </w:tc>
        <w:tc>
          <w:tcPr>
            <w:tcW w:w="516"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6</w:t>
            </w:r>
          </w:p>
        </w:tc>
        <w:tc>
          <w:tcPr>
            <w:tcW w:w="3342" w:type="dxa"/>
            <w:tcBorders>
              <w:top w:val="single" w:color="auto" w:sz="4" w:space="0"/>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 xml:space="preserve">  部门年度重点工作实际完成数与交办或下达数的比率，用以反映部门对重点工作的办理落实程度。</w:t>
            </w:r>
            <w:r>
              <w:rPr>
                <w:rFonts w:hint="default" w:ascii="Times New Roman" w:hAnsi="Times New Roman" w:cs="Times New Roman"/>
                <w:kern w:val="0"/>
                <w:sz w:val="20"/>
                <w:szCs w:val="20"/>
              </w:rPr>
              <w:br w:type="textWrapping"/>
            </w:r>
            <w:r>
              <w:rPr>
                <w:rFonts w:hint="default" w:ascii="Times New Roman" w:hAnsi="Times New Roman" w:cs="Times New Roman"/>
                <w:kern w:val="0"/>
                <w:sz w:val="20"/>
                <w:szCs w:val="20"/>
              </w:rPr>
              <w:t xml:space="preserve">  重点工作办结率=（重点工作实际完成数/交办或下达数）×100%。</w:t>
            </w:r>
            <w:r>
              <w:rPr>
                <w:rFonts w:hint="default" w:ascii="Times New Roman" w:hAnsi="Times New Roman" w:cs="Times New Roman"/>
                <w:kern w:val="0"/>
                <w:sz w:val="20"/>
                <w:szCs w:val="20"/>
              </w:rPr>
              <w:br w:type="textWrapping"/>
            </w:r>
            <w:r>
              <w:rPr>
                <w:rFonts w:hint="default" w:ascii="Times New Roman" w:hAnsi="Times New Roman" w:cs="Times New Roman"/>
                <w:kern w:val="0"/>
                <w:sz w:val="20"/>
                <w:szCs w:val="20"/>
              </w:rPr>
              <w:t xml:space="preserve">  重点工作是指党委、政府、人大、相关部门交办或下达的工作任务。</w:t>
            </w:r>
          </w:p>
        </w:tc>
        <w:tc>
          <w:tcPr>
            <w:tcW w:w="3036" w:type="dxa"/>
            <w:tcBorders>
              <w:top w:val="single" w:color="auto" w:sz="4" w:space="0"/>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　</w:t>
            </w:r>
          </w:p>
        </w:tc>
        <w:tc>
          <w:tcPr>
            <w:tcW w:w="726" w:type="dxa"/>
            <w:tcBorders>
              <w:top w:val="single" w:color="auto" w:sz="4" w:space="0"/>
              <w:left w:val="nil"/>
              <w:bottom w:val="single" w:color="auto" w:sz="4" w:space="0"/>
              <w:right w:val="single" w:color="auto" w:sz="4" w:space="0"/>
            </w:tcBorders>
            <w:noWrap/>
            <w:vAlign w:val="center"/>
          </w:tcPr>
          <w:p>
            <w:pPr>
              <w:widowControl/>
              <w:jc w:val="center"/>
              <w:rPr>
                <w:rFonts w:hint="eastAsia" w:ascii="Times New Roman" w:hAnsi="Times New Roman" w:eastAsia="宋体" w:cs="Times New Roman"/>
                <w:kern w:val="0"/>
                <w:sz w:val="24"/>
                <w:szCs w:val="24"/>
                <w:lang w:val="en-US" w:eastAsia="zh-CN"/>
              </w:rPr>
            </w:pPr>
            <w:r>
              <w:rPr>
                <w:rFonts w:hint="eastAsia" w:ascii="Times New Roman" w:hAnsi="Times New Roman" w:cs="Times New Roman"/>
                <w:kern w:val="0"/>
                <w:sz w:val="24"/>
                <w:szCs w:val="24"/>
                <w:lang w:val="en-US" w:eastAsia="zh-CN"/>
              </w:rPr>
              <w:t>6</w:t>
            </w:r>
          </w:p>
        </w:tc>
      </w:tr>
      <w:tr>
        <w:tblPrEx>
          <w:tblCellMar>
            <w:top w:w="0" w:type="dxa"/>
            <w:left w:w="108" w:type="dxa"/>
            <w:bottom w:w="0" w:type="dxa"/>
            <w:right w:w="108" w:type="dxa"/>
          </w:tblCellMar>
        </w:tblPrEx>
        <w:trPr>
          <w:trHeight w:val="1122" w:hRule="atLeast"/>
          <w:jc w:val="center"/>
        </w:trPr>
        <w:tc>
          <w:tcPr>
            <w:tcW w:w="731"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spacing w:line="280" w:lineRule="exact"/>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效果</w:t>
            </w:r>
          </w:p>
        </w:tc>
        <w:tc>
          <w:tcPr>
            <w:tcW w:w="63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履职</w:t>
            </w:r>
            <w:r>
              <w:rPr>
                <w:rFonts w:hint="default" w:ascii="Times New Roman" w:hAnsi="Times New Roman" w:cs="Times New Roman"/>
                <w:kern w:val="0"/>
                <w:sz w:val="20"/>
                <w:szCs w:val="20"/>
              </w:rPr>
              <w:br w:type="textWrapping"/>
            </w:r>
            <w:r>
              <w:rPr>
                <w:rFonts w:hint="default" w:ascii="Times New Roman" w:hAnsi="Times New Roman" w:cs="Times New Roman"/>
                <w:kern w:val="0"/>
                <w:sz w:val="20"/>
                <w:szCs w:val="20"/>
              </w:rPr>
              <w:t>效益</w:t>
            </w:r>
          </w:p>
        </w:tc>
        <w:tc>
          <w:tcPr>
            <w:tcW w:w="54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30</w:t>
            </w:r>
          </w:p>
        </w:tc>
        <w:tc>
          <w:tcPr>
            <w:tcW w:w="676" w:type="dxa"/>
            <w:tcBorders>
              <w:top w:val="single" w:color="auto" w:sz="4" w:space="0"/>
              <w:left w:val="nil"/>
              <w:bottom w:val="single" w:color="auto" w:sz="4" w:space="0"/>
              <w:right w:val="nil"/>
            </w:tcBorders>
            <w:noWrap/>
            <w:vAlign w:val="center"/>
          </w:tcPr>
          <w:p>
            <w:pPr>
              <w:widowControl/>
              <w:spacing w:line="280" w:lineRule="exact"/>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实施效益</w:t>
            </w:r>
          </w:p>
        </w:tc>
        <w:tc>
          <w:tcPr>
            <w:tcW w:w="516"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22</w:t>
            </w:r>
          </w:p>
        </w:tc>
        <w:tc>
          <w:tcPr>
            <w:tcW w:w="3342" w:type="dxa"/>
            <w:tcBorders>
              <w:top w:val="single" w:color="auto" w:sz="4" w:space="0"/>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 xml:space="preserve">  部门履行职责对经济发展、社会发展和生态环境等所带来的直接或间接影响。</w:t>
            </w:r>
          </w:p>
        </w:tc>
        <w:tc>
          <w:tcPr>
            <w:tcW w:w="3036" w:type="dxa"/>
            <w:tcBorders>
              <w:top w:val="single" w:color="auto" w:sz="4" w:space="0"/>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此指标为设置部门整体支出绩效评价指标时必须考虑的共性要素，可根据部门实际并结合部门整体支出绩效目标设立情况有选择的进行设置，并将其细化为相应的个性化指标。</w:t>
            </w:r>
          </w:p>
        </w:tc>
        <w:tc>
          <w:tcPr>
            <w:tcW w:w="726" w:type="dxa"/>
            <w:tcBorders>
              <w:top w:val="single" w:color="auto" w:sz="4" w:space="0"/>
              <w:left w:val="nil"/>
              <w:bottom w:val="single" w:color="auto" w:sz="4" w:space="0"/>
              <w:right w:val="single" w:color="auto" w:sz="4" w:space="0"/>
            </w:tcBorders>
            <w:noWrap/>
            <w:vAlign w:val="center"/>
          </w:tcPr>
          <w:p>
            <w:pPr>
              <w:widowControl/>
              <w:jc w:val="center"/>
              <w:rPr>
                <w:rFonts w:hint="default" w:ascii="Times New Roman" w:hAnsi="Times New Roman" w:eastAsia="宋体" w:cs="Times New Roman"/>
                <w:kern w:val="0"/>
                <w:sz w:val="24"/>
                <w:szCs w:val="24"/>
                <w:lang w:val="en-US" w:eastAsia="zh-CN"/>
              </w:rPr>
            </w:pPr>
            <w:r>
              <w:rPr>
                <w:rFonts w:hint="eastAsia" w:ascii="Times New Roman" w:hAnsi="Times New Roman" w:cs="Times New Roman"/>
                <w:kern w:val="0"/>
                <w:sz w:val="24"/>
                <w:szCs w:val="24"/>
                <w:lang w:val="en-US" w:eastAsia="zh-CN"/>
              </w:rPr>
              <w:t>22</w:t>
            </w:r>
          </w:p>
        </w:tc>
      </w:tr>
      <w:tr>
        <w:tblPrEx>
          <w:tblCellMar>
            <w:top w:w="0" w:type="dxa"/>
            <w:left w:w="108" w:type="dxa"/>
            <w:bottom w:w="0" w:type="dxa"/>
            <w:right w:w="108" w:type="dxa"/>
          </w:tblCellMar>
        </w:tblPrEx>
        <w:trPr>
          <w:trHeight w:val="642" w:hRule="atLeast"/>
          <w:jc w:val="center"/>
        </w:trPr>
        <w:tc>
          <w:tcPr>
            <w:tcW w:w="73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p>
        </w:tc>
        <w:tc>
          <w:tcPr>
            <w:tcW w:w="63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p>
        </w:tc>
        <w:tc>
          <w:tcPr>
            <w:tcW w:w="54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p>
        </w:tc>
        <w:tc>
          <w:tcPr>
            <w:tcW w:w="676" w:type="dxa"/>
            <w:tcBorders>
              <w:top w:val="single" w:color="auto" w:sz="4" w:space="0"/>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行政效能</w:t>
            </w:r>
          </w:p>
        </w:tc>
        <w:tc>
          <w:tcPr>
            <w:tcW w:w="516"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3</w:t>
            </w:r>
          </w:p>
        </w:tc>
        <w:tc>
          <w:tcPr>
            <w:tcW w:w="3342" w:type="dxa"/>
            <w:tcBorders>
              <w:top w:val="single" w:color="auto" w:sz="4" w:space="0"/>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 xml:space="preserve">  政府对机关工作实施情况的具体评价，以年度政府考核结果为依据。</w:t>
            </w:r>
          </w:p>
        </w:tc>
        <w:tc>
          <w:tcPr>
            <w:tcW w:w="3036" w:type="dxa"/>
            <w:tcBorders>
              <w:top w:val="single" w:color="auto" w:sz="4" w:space="0"/>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优秀计3分，良好计2分，合格计1分，不合格计0分。</w:t>
            </w:r>
          </w:p>
        </w:tc>
        <w:tc>
          <w:tcPr>
            <w:tcW w:w="726" w:type="dxa"/>
            <w:tcBorders>
              <w:top w:val="single" w:color="auto" w:sz="4" w:space="0"/>
              <w:left w:val="nil"/>
              <w:bottom w:val="single" w:color="auto" w:sz="4" w:space="0"/>
              <w:right w:val="single" w:color="auto" w:sz="4" w:space="0"/>
            </w:tcBorders>
            <w:noWrap/>
            <w:vAlign w:val="center"/>
          </w:tcPr>
          <w:p>
            <w:pPr>
              <w:widowControl/>
              <w:jc w:val="center"/>
              <w:rPr>
                <w:rFonts w:hint="eastAsia" w:ascii="Times New Roman" w:hAnsi="Times New Roman" w:eastAsia="宋体" w:cs="Times New Roman"/>
                <w:kern w:val="0"/>
                <w:sz w:val="24"/>
                <w:szCs w:val="24"/>
                <w:lang w:val="en-US" w:eastAsia="zh-CN"/>
              </w:rPr>
            </w:pPr>
            <w:r>
              <w:rPr>
                <w:rFonts w:hint="eastAsia" w:ascii="Times New Roman" w:hAnsi="Times New Roman" w:cs="Times New Roman"/>
                <w:kern w:val="0"/>
                <w:sz w:val="24"/>
                <w:szCs w:val="24"/>
                <w:lang w:val="en-US" w:eastAsia="zh-CN"/>
              </w:rPr>
              <w:t>3</w:t>
            </w:r>
          </w:p>
        </w:tc>
      </w:tr>
      <w:tr>
        <w:tblPrEx>
          <w:tblCellMar>
            <w:top w:w="0" w:type="dxa"/>
            <w:left w:w="108" w:type="dxa"/>
            <w:bottom w:w="0" w:type="dxa"/>
            <w:right w:w="108" w:type="dxa"/>
          </w:tblCellMar>
        </w:tblPrEx>
        <w:trPr>
          <w:trHeight w:val="799" w:hRule="atLeast"/>
          <w:jc w:val="center"/>
        </w:trPr>
        <w:tc>
          <w:tcPr>
            <w:tcW w:w="73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p>
        </w:tc>
        <w:tc>
          <w:tcPr>
            <w:tcW w:w="63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p>
        </w:tc>
        <w:tc>
          <w:tcPr>
            <w:tcW w:w="54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p>
        </w:tc>
        <w:tc>
          <w:tcPr>
            <w:tcW w:w="676" w:type="dxa"/>
            <w:tcBorders>
              <w:top w:val="single" w:color="auto" w:sz="4" w:space="0"/>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社会公众或服务对象满意度</w:t>
            </w:r>
          </w:p>
        </w:tc>
        <w:tc>
          <w:tcPr>
            <w:tcW w:w="516"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kern w:val="0"/>
                <w:sz w:val="20"/>
                <w:szCs w:val="20"/>
              </w:rPr>
            </w:pPr>
            <w:r>
              <w:rPr>
                <w:rFonts w:hint="default" w:ascii="Times New Roman" w:hAnsi="Times New Roman" w:cs="Times New Roman"/>
                <w:kern w:val="0"/>
                <w:sz w:val="20"/>
                <w:szCs w:val="20"/>
              </w:rPr>
              <w:t>5</w:t>
            </w:r>
          </w:p>
        </w:tc>
        <w:tc>
          <w:tcPr>
            <w:tcW w:w="3342" w:type="dxa"/>
            <w:tcBorders>
              <w:top w:val="single" w:color="auto" w:sz="4" w:space="0"/>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 xml:space="preserve">  社会公众或部门的服务对象对部门履职效果的满意程度。</w:t>
            </w:r>
            <w:r>
              <w:rPr>
                <w:rFonts w:hint="default" w:ascii="Times New Roman" w:hAnsi="Times New Roman" w:cs="Times New Roman"/>
                <w:kern w:val="0"/>
                <w:sz w:val="20"/>
                <w:szCs w:val="20"/>
              </w:rPr>
              <w:br w:type="textWrapping"/>
            </w:r>
            <w:r>
              <w:rPr>
                <w:rFonts w:hint="default" w:ascii="Times New Roman" w:hAnsi="Times New Roman" w:cs="Times New Roman"/>
                <w:kern w:val="0"/>
                <w:sz w:val="20"/>
                <w:szCs w:val="20"/>
              </w:rPr>
              <w:t xml:space="preserve">  社会公众或服务对象是指部门履行职责而影响到的部门、群体或个人。</w:t>
            </w:r>
          </w:p>
        </w:tc>
        <w:tc>
          <w:tcPr>
            <w:tcW w:w="3036" w:type="dxa"/>
            <w:tcBorders>
              <w:top w:val="single" w:color="auto" w:sz="4" w:space="0"/>
              <w:left w:val="nil"/>
              <w:bottom w:val="single" w:color="auto" w:sz="4" w:space="0"/>
              <w:right w:val="single" w:color="auto" w:sz="4" w:space="0"/>
            </w:tcBorders>
            <w:noWrap w:val="0"/>
            <w:vAlign w:val="center"/>
          </w:tcPr>
          <w:p>
            <w:pPr>
              <w:widowControl/>
              <w:spacing w:line="280" w:lineRule="exact"/>
              <w:jc w:val="left"/>
              <w:rPr>
                <w:rFonts w:hint="default" w:ascii="Times New Roman" w:hAnsi="Times New Roman" w:cs="Times New Roman"/>
                <w:kern w:val="0"/>
                <w:sz w:val="20"/>
                <w:szCs w:val="20"/>
              </w:rPr>
            </w:pPr>
            <w:r>
              <w:rPr>
                <w:rFonts w:hint="default" w:ascii="Times New Roman" w:hAnsi="Times New Roman" w:cs="Times New Roman"/>
                <w:kern w:val="0"/>
                <w:sz w:val="20"/>
                <w:szCs w:val="20"/>
              </w:rPr>
              <w:t>≥90%，得5分；</w:t>
            </w:r>
            <w:r>
              <w:rPr>
                <w:rFonts w:hint="default" w:ascii="Times New Roman" w:hAnsi="Times New Roman" w:cs="Times New Roman"/>
                <w:kern w:val="0"/>
                <w:sz w:val="20"/>
                <w:szCs w:val="20"/>
              </w:rPr>
              <w:br w:type="textWrapping"/>
            </w:r>
            <w:r>
              <w:rPr>
                <w:rFonts w:hint="default" w:ascii="Times New Roman" w:hAnsi="Times New Roman" w:cs="Times New Roman"/>
                <w:kern w:val="0"/>
                <w:sz w:val="20"/>
                <w:szCs w:val="20"/>
              </w:rPr>
              <w:t>每降低1%，扣0.5分，扣完为止。</w:t>
            </w:r>
          </w:p>
        </w:tc>
        <w:tc>
          <w:tcPr>
            <w:tcW w:w="726" w:type="dxa"/>
            <w:tcBorders>
              <w:top w:val="single" w:color="auto" w:sz="4" w:space="0"/>
              <w:left w:val="nil"/>
              <w:bottom w:val="single" w:color="auto" w:sz="4" w:space="0"/>
              <w:right w:val="single" w:color="auto" w:sz="4" w:space="0"/>
            </w:tcBorders>
            <w:noWrap/>
            <w:vAlign w:val="center"/>
          </w:tcPr>
          <w:p>
            <w:pPr>
              <w:widowControl/>
              <w:jc w:val="center"/>
              <w:rPr>
                <w:rFonts w:hint="default" w:ascii="Times New Roman" w:hAnsi="Times New Roman" w:cs="Times New Roman"/>
                <w:kern w:val="0"/>
                <w:sz w:val="24"/>
                <w:szCs w:val="24"/>
              </w:rPr>
            </w:pPr>
            <w:r>
              <w:rPr>
                <w:rFonts w:hint="eastAsia" w:ascii="Times New Roman" w:hAnsi="Times New Roman" w:cs="Times New Roman"/>
                <w:kern w:val="0"/>
                <w:sz w:val="24"/>
                <w:szCs w:val="24"/>
                <w:lang w:val="en-US" w:eastAsia="zh-CN"/>
              </w:rPr>
              <w:t>5</w:t>
            </w:r>
          </w:p>
        </w:tc>
      </w:tr>
      <w:tr>
        <w:tblPrEx>
          <w:tblCellMar>
            <w:top w:w="0" w:type="dxa"/>
            <w:left w:w="108" w:type="dxa"/>
            <w:bottom w:w="0" w:type="dxa"/>
            <w:right w:w="108" w:type="dxa"/>
          </w:tblCellMar>
        </w:tblPrEx>
        <w:trPr>
          <w:trHeight w:val="420" w:hRule="atLeast"/>
          <w:jc w:val="center"/>
        </w:trPr>
        <w:tc>
          <w:tcPr>
            <w:tcW w:w="1369"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b/>
                <w:bCs/>
                <w:kern w:val="0"/>
                <w:sz w:val="20"/>
                <w:szCs w:val="20"/>
              </w:rPr>
            </w:pPr>
            <w:r>
              <w:rPr>
                <w:rFonts w:hint="default" w:ascii="Times New Roman" w:hAnsi="Times New Roman" w:cs="Times New Roman"/>
                <w:b/>
                <w:bCs/>
                <w:kern w:val="0"/>
                <w:sz w:val="20"/>
                <w:szCs w:val="20"/>
              </w:rPr>
              <w:t>合计</w:t>
            </w:r>
          </w:p>
        </w:tc>
        <w:tc>
          <w:tcPr>
            <w:tcW w:w="548" w:type="dxa"/>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hint="default" w:ascii="Times New Roman" w:hAnsi="Times New Roman" w:cs="Times New Roman"/>
                <w:b/>
                <w:bCs/>
                <w:kern w:val="0"/>
                <w:sz w:val="20"/>
                <w:szCs w:val="20"/>
              </w:rPr>
            </w:pPr>
            <w:r>
              <w:rPr>
                <w:rFonts w:hint="default" w:ascii="Times New Roman" w:hAnsi="Times New Roman" w:cs="Times New Roman"/>
                <w:b/>
                <w:bCs/>
                <w:kern w:val="0"/>
                <w:sz w:val="20"/>
                <w:szCs w:val="20"/>
              </w:rPr>
              <w:t>100</w:t>
            </w:r>
          </w:p>
        </w:tc>
        <w:tc>
          <w:tcPr>
            <w:tcW w:w="676" w:type="dxa"/>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hint="default" w:ascii="Times New Roman" w:hAnsi="Times New Roman" w:cs="Times New Roman"/>
                <w:b/>
                <w:bCs/>
                <w:kern w:val="0"/>
                <w:sz w:val="20"/>
                <w:szCs w:val="20"/>
              </w:rPr>
            </w:pPr>
            <w:r>
              <w:rPr>
                <w:rFonts w:hint="default" w:ascii="Times New Roman" w:hAnsi="Times New Roman" w:cs="Times New Roman"/>
                <w:b/>
                <w:bCs/>
                <w:kern w:val="0"/>
                <w:sz w:val="20"/>
                <w:szCs w:val="20"/>
              </w:rPr>
              <w:t>　</w:t>
            </w:r>
          </w:p>
        </w:tc>
        <w:tc>
          <w:tcPr>
            <w:tcW w:w="516"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default" w:ascii="Times New Roman" w:hAnsi="Times New Roman" w:cs="Times New Roman"/>
                <w:b/>
                <w:bCs/>
                <w:kern w:val="0"/>
                <w:sz w:val="20"/>
                <w:szCs w:val="20"/>
              </w:rPr>
            </w:pPr>
            <w:r>
              <w:rPr>
                <w:rFonts w:hint="default" w:ascii="Times New Roman" w:hAnsi="Times New Roman" w:cs="Times New Roman"/>
                <w:b/>
                <w:bCs/>
                <w:kern w:val="0"/>
                <w:sz w:val="20"/>
                <w:szCs w:val="20"/>
              </w:rPr>
              <w:t>100</w:t>
            </w:r>
          </w:p>
        </w:tc>
        <w:tc>
          <w:tcPr>
            <w:tcW w:w="3342" w:type="dxa"/>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left"/>
              <w:rPr>
                <w:rFonts w:hint="default" w:ascii="Times New Roman" w:hAnsi="Times New Roman" w:cs="Times New Roman"/>
                <w:b/>
                <w:bCs/>
                <w:kern w:val="0"/>
                <w:sz w:val="20"/>
                <w:szCs w:val="20"/>
              </w:rPr>
            </w:pPr>
            <w:r>
              <w:rPr>
                <w:rFonts w:hint="default" w:ascii="Times New Roman" w:hAnsi="Times New Roman" w:cs="Times New Roman"/>
                <w:b/>
                <w:bCs/>
                <w:kern w:val="0"/>
                <w:sz w:val="20"/>
                <w:szCs w:val="20"/>
              </w:rPr>
              <w:t>　</w:t>
            </w:r>
          </w:p>
        </w:tc>
        <w:tc>
          <w:tcPr>
            <w:tcW w:w="3036" w:type="dxa"/>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left"/>
              <w:rPr>
                <w:rFonts w:hint="default" w:ascii="Times New Roman" w:hAnsi="Times New Roman" w:cs="Times New Roman"/>
                <w:b/>
                <w:bCs/>
                <w:kern w:val="0"/>
                <w:sz w:val="20"/>
                <w:szCs w:val="20"/>
              </w:rPr>
            </w:pPr>
            <w:r>
              <w:rPr>
                <w:rFonts w:hint="default" w:ascii="Times New Roman" w:hAnsi="Times New Roman" w:cs="Times New Roman"/>
                <w:b/>
                <w:bCs/>
                <w:kern w:val="0"/>
                <w:sz w:val="20"/>
                <w:szCs w:val="20"/>
              </w:rPr>
              <w:t>　</w:t>
            </w:r>
          </w:p>
        </w:tc>
        <w:tc>
          <w:tcPr>
            <w:tcW w:w="726"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default" w:ascii="Times New Roman" w:hAnsi="Times New Roman" w:eastAsia="宋体" w:cs="Times New Roman"/>
                <w:b/>
                <w:bCs/>
                <w:kern w:val="0"/>
                <w:sz w:val="24"/>
                <w:szCs w:val="24"/>
                <w:lang w:val="en-US" w:eastAsia="zh-CN"/>
              </w:rPr>
            </w:pPr>
            <w:r>
              <w:rPr>
                <w:rFonts w:hint="default" w:ascii="Times New Roman" w:hAnsi="Times New Roman" w:cs="Times New Roman"/>
                <w:b/>
                <w:bCs/>
                <w:kern w:val="0"/>
                <w:sz w:val="24"/>
                <w:szCs w:val="24"/>
              </w:rPr>
              <w:t>　</w:t>
            </w:r>
            <w:r>
              <w:rPr>
                <w:rFonts w:hint="eastAsia" w:ascii="Times New Roman" w:hAnsi="Times New Roman" w:cs="Times New Roman"/>
                <w:b/>
                <w:bCs/>
                <w:kern w:val="0"/>
                <w:sz w:val="24"/>
                <w:szCs w:val="24"/>
                <w:lang w:val="en-US" w:eastAsia="zh-CN"/>
              </w:rPr>
              <w:t>97</w:t>
            </w:r>
          </w:p>
        </w:tc>
      </w:tr>
    </w:tbl>
    <w:p>
      <w:pPr>
        <w:widowControl/>
        <w:spacing w:line="560" w:lineRule="exact"/>
        <w:ind w:firstLine="608" w:firstLineChars="190"/>
        <w:rPr>
          <w:rFonts w:ascii="仿宋" w:hAnsi="仿宋" w:eastAsia="仿宋" w:cs="Times New Roman"/>
          <w:color w:val="000000"/>
          <w:sz w:val="32"/>
          <w:szCs w:val="32"/>
        </w:rPr>
      </w:pPr>
    </w:p>
    <w:p>
      <w:pPr>
        <w:widowControl/>
        <w:spacing w:line="560" w:lineRule="exact"/>
        <w:ind w:firstLine="608" w:firstLineChars="190"/>
        <w:rPr>
          <w:rFonts w:ascii="仿宋" w:hAnsi="仿宋" w:eastAsia="仿宋" w:cs="Times New Roman"/>
          <w:color w:val="000000"/>
          <w:sz w:val="32"/>
          <w:szCs w:val="32"/>
        </w:rPr>
      </w:pPr>
    </w:p>
    <w:p>
      <w:pPr>
        <w:pStyle w:val="3"/>
      </w:pPr>
    </w:p>
    <w:p/>
    <w:p>
      <w:pPr>
        <w:pStyle w:val="3"/>
      </w:pPr>
    </w:p>
    <w:p/>
    <w:p>
      <w:pPr>
        <w:pStyle w:val="3"/>
      </w:pPr>
    </w:p>
    <w:p/>
    <w:p>
      <w:pPr>
        <w:pStyle w:val="3"/>
      </w:pPr>
    </w:p>
    <w:p/>
    <w:p>
      <w:pPr>
        <w:pStyle w:val="3"/>
      </w:pPr>
    </w:p>
    <w:p/>
    <w:p>
      <w:pPr>
        <w:pStyle w:val="3"/>
      </w:pPr>
    </w:p>
    <w:p/>
    <w:p>
      <w:pPr>
        <w:rPr>
          <w:rFonts w:hint="eastAsia"/>
        </w:rPr>
      </w:pPr>
    </w:p>
    <w:p>
      <w:pPr>
        <w:widowControl/>
        <w:spacing w:line="560" w:lineRule="exact"/>
        <w:ind w:firstLine="608" w:firstLineChars="190"/>
        <w:rPr>
          <w:rFonts w:ascii="仿宋" w:hAnsi="仿宋" w:eastAsia="仿宋" w:cs="Times New Roman"/>
          <w:color w:val="000000"/>
          <w:sz w:val="32"/>
          <w:szCs w:val="32"/>
        </w:rPr>
      </w:pPr>
    </w:p>
    <w:p>
      <w:pPr>
        <w:widowControl/>
        <w:spacing w:line="560" w:lineRule="exact"/>
        <w:ind w:firstLine="608" w:firstLineChars="190"/>
        <w:rPr>
          <w:rFonts w:ascii="仿宋" w:hAnsi="仿宋" w:eastAsia="仿宋" w:cs="Times New Roman"/>
          <w:color w:val="000000"/>
          <w:sz w:val="32"/>
          <w:szCs w:val="32"/>
        </w:rPr>
      </w:pPr>
    </w:p>
    <w:p>
      <w:pPr>
        <w:widowControl/>
        <w:spacing w:line="360" w:lineRule="auto"/>
        <w:ind w:firstLine="608" w:firstLineChars="190"/>
      </w:pPr>
      <w:r>
        <w:rPr>
          <w:rFonts w:hint="eastAsia" w:ascii="仿宋_GB2312" w:hAnsi="仿宋_GB2312" w:eastAsia="仿宋_GB2312" w:cs="仿宋_GB2312"/>
          <w:color w:val="FFFFFF"/>
          <w:sz w:val="32"/>
          <w:szCs w:val="32"/>
        </w:rPr>
        <w:t xml:space="preserve">        </w:t>
      </w:r>
      <w:r>
        <w:br w:type="page"/>
      </w:r>
    </w:p>
    <w:p>
      <w:pPr>
        <w:jc w:val="center"/>
        <w:rPr>
          <w:rFonts w:ascii="宋体" w:hAnsi="宋体" w:cs="宋体"/>
          <w:b/>
          <w:bCs/>
          <w:kern w:val="0"/>
          <w:sz w:val="20"/>
          <w:szCs w:val="20"/>
        </w:rPr>
      </w:pPr>
    </w:p>
    <w:p>
      <w:pPr>
        <w:jc w:val="center"/>
        <w:rPr>
          <w:rFonts w:ascii="宋体" w:hAnsi="宋体" w:cs="宋体"/>
          <w:b/>
          <w:bCs/>
          <w:kern w:val="0"/>
          <w:sz w:val="20"/>
          <w:szCs w:val="20"/>
        </w:rPr>
      </w:pPr>
    </w:p>
    <w:sectPr>
      <w:footerReference r:id="rId3" w:type="default"/>
      <w:pgSz w:w="11906" w:h="16838"/>
      <w:pgMar w:top="1417" w:right="1134" w:bottom="1417" w:left="1134" w:header="851" w:footer="992" w:gutter="0"/>
      <w:cols w:space="720" w:num="1"/>
      <w:docGrid w:type="linesAndChar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方正小标宋简体">
    <w:altName w:val="黑体"/>
    <w:panose1 w:val="02010601030101010101"/>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9</w:t>
                          </w:r>
                          <w:r>
                            <w:rPr>
                              <w:rFonts w:hint="eastAsia"/>
                              <w:sz w:val="18"/>
                            </w:rPr>
                            <w:fldChar w:fldCharType="end"/>
                          </w:r>
                        </w:p>
                      </w:txbxContent>
                    </wps:txbx>
                    <wps:bodyPr vert="horz" wrap="none" lIns="0" tIns="0" rIns="0" bIns="0" anchor="t" anchorCtr="0" upright="1">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Ll1uVLQAAAABQEAAA8AAAAAAAAAAQAg&#10;AAAAIgAAAGRycy9kb3ducmV2LnhtbFBLAQIUABQAAAAIAIdO4kB5uYki3QEAAMIDAAAOAAAAAAAA&#10;AAEAIAAAAB8BAABkcnMvZTJvRG9jLnhtbFBLBQYAAAAABgAGAFkBAABu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9</w:t>
                    </w:r>
                    <w:r>
                      <w:rPr>
                        <w:rFonts w:hint="eastAsia"/>
                        <w:sz w:val="18"/>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364DA8"/>
    <w:multiLevelType w:val="multilevel"/>
    <w:tmpl w:val="07364DA8"/>
    <w:lvl w:ilvl="0" w:tentative="0">
      <w:start w:val="1"/>
      <w:numFmt w:val="japaneseCounting"/>
      <w:lvlText w:val="%1、"/>
      <w:lvlJc w:val="left"/>
      <w:pPr>
        <w:ind w:left="1839" w:hanging="420"/>
      </w:pPr>
      <w:rPr>
        <w:rFonts w:hint="default"/>
      </w:rPr>
    </w:lvl>
    <w:lvl w:ilvl="1" w:tentative="0">
      <w:start w:val="1"/>
      <w:numFmt w:val="lowerLetter"/>
      <w:lvlText w:val="%2)"/>
      <w:lvlJc w:val="left"/>
      <w:pPr>
        <w:ind w:left="2238" w:hanging="420"/>
      </w:pPr>
    </w:lvl>
    <w:lvl w:ilvl="2" w:tentative="0">
      <w:start w:val="1"/>
      <w:numFmt w:val="lowerRoman"/>
      <w:lvlText w:val="%3."/>
      <w:lvlJc w:val="right"/>
      <w:pPr>
        <w:ind w:left="2658" w:hanging="420"/>
      </w:pPr>
    </w:lvl>
    <w:lvl w:ilvl="3" w:tentative="0">
      <w:start w:val="1"/>
      <w:numFmt w:val="decimal"/>
      <w:lvlText w:val="%4."/>
      <w:lvlJc w:val="left"/>
      <w:pPr>
        <w:ind w:left="3078" w:hanging="420"/>
      </w:pPr>
    </w:lvl>
    <w:lvl w:ilvl="4" w:tentative="0">
      <w:start w:val="1"/>
      <w:numFmt w:val="lowerLetter"/>
      <w:lvlText w:val="%5)"/>
      <w:lvlJc w:val="left"/>
      <w:pPr>
        <w:ind w:left="3498" w:hanging="420"/>
      </w:pPr>
    </w:lvl>
    <w:lvl w:ilvl="5" w:tentative="0">
      <w:start w:val="1"/>
      <w:numFmt w:val="lowerRoman"/>
      <w:lvlText w:val="%6."/>
      <w:lvlJc w:val="right"/>
      <w:pPr>
        <w:ind w:left="3918" w:hanging="420"/>
      </w:pPr>
    </w:lvl>
    <w:lvl w:ilvl="6" w:tentative="0">
      <w:start w:val="1"/>
      <w:numFmt w:val="decimal"/>
      <w:lvlText w:val="%7."/>
      <w:lvlJc w:val="left"/>
      <w:pPr>
        <w:ind w:left="4338" w:hanging="420"/>
      </w:pPr>
    </w:lvl>
    <w:lvl w:ilvl="7" w:tentative="0">
      <w:start w:val="1"/>
      <w:numFmt w:val="lowerLetter"/>
      <w:lvlText w:val="%8)"/>
      <w:lvlJc w:val="left"/>
      <w:pPr>
        <w:ind w:left="4758" w:hanging="420"/>
      </w:pPr>
    </w:lvl>
    <w:lvl w:ilvl="8" w:tentative="0">
      <w:start w:val="1"/>
      <w:numFmt w:val="lowerRoman"/>
      <w:lvlText w:val="%9."/>
      <w:lvlJc w:val="right"/>
      <w:pPr>
        <w:ind w:left="5178" w:hanging="420"/>
      </w:pPr>
    </w:lvl>
  </w:abstractNum>
  <w:abstractNum w:abstractNumId="1">
    <w:nsid w:val="26E429CB"/>
    <w:multiLevelType w:val="singleLevel"/>
    <w:tmpl w:val="26E429CB"/>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5B66FA"/>
    <w:rsid w:val="000137B1"/>
    <w:rsid w:val="00124585"/>
    <w:rsid w:val="003B21C7"/>
    <w:rsid w:val="003B3653"/>
    <w:rsid w:val="00434EC0"/>
    <w:rsid w:val="00AA13CE"/>
    <w:rsid w:val="00B8406A"/>
    <w:rsid w:val="00DA2024"/>
    <w:rsid w:val="050002BD"/>
    <w:rsid w:val="059353AD"/>
    <w:rsid w:val="083308AB"/>
    <w:rsid w:val="08C22D1F"/>
    <w:rsid w:val="0B395AB8"/>
    <w:rsid w:val="0FCE22CD"/>
    <w:rsid w:val="16195EE8"/>
    <w:rsid w:val="17563F2D"/>
    <w:rsid w:val="1ABF306F"/>
    <w:rsid w:val="1C1742CE"/>
    <w:rsid w:val="1F294332"/>
    <w:rsid w:val="20EC1DC8"/>
    <w:rsid w:val="24C71EEA"/>
    <w:rsid w:val="24CC2ABB"/>
    <w:rsid w:val="26FF72FE"/>
    <w:rsid w:val="28420231"/>
    <w:rsid w:val="28AC55BD"/>
    <w:rsid w:val="2AFA3DEA"/>
    <w:rsid w:val="2C40047D"/>
    <w:rsid w:val="2E7B1178"/>
    <w:rsid w:val="2F4D1AC1"/>
    <w:rsid w:val="306B7990"/>
    <w:rsid w:val="319C44A9"/>
    <w:rsid w:val="31A45675"/>
    <w:rsid w:val="336715E9"/>
    <w:rsid w:val="352637E4"/>
    <w:rsid w:val="36032D5C"/>
    <w:rsid w:val="38B44595"/>
    <w:rsid w:val="3A34605D"/>
    <w:rsid w:val="3E164EF2"/>
    <w:rsid w:val="4103244D"/>
    <w:rsid w:val="438D32B5"/>
    <w:rsid w:val="44BB5F01"/>
    <w:rsid w:val="44C85610"/>
    <w:rsid w:val="48280889"/>
    <w:rsid w:val="48DC3FBB"/>
    <w:rsid w:val="49E315A5"/>
    <w:rsid w:val="515A2BB3"/>
    <w:rsid w:val="560315B0"/>
    <w:rsid w:val="5A344CDB"/>
    <w:rsid w:val="5B9A367F"/>
    <w:rsid w:val="5CF93F15"/>
    <w:rsid w:val="5ECC5D50"/>
    <w:rsid w:val="61474B51"/>
    <w:rsid w:val="6412273A"/>
    <w:rsid w:val="645B66FA"/>
    <w:rsid w:val="64C30BE8"/>
    <w:rsid w:val="65486019"/>
    <w:rsid w:val="65A07074"/>
    <w:rsid w:val="66524B25"/>
    <w:rsid w:val="69072A18"/>
    <w:rsid w:val="6A142BBA"/>
    <w:rsid w:val="6AFA23D9"/>
    <w:rsid w:val="6BD0347F"/>
    <w:rsid w:val="6BE6248C"/>
    <w:rsid w:val="6C7D4350"/>
    <w:rsid w:val="6D8049B5"/>
    <w:rsid w:val="6EE33885"/>
    <w:rsid w:val="70C943F9"/>
    <w:rsid w:val="791805CF"/>
    <w:rsid w:val="7D5379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黑体"/>
      <w:kern w:val="2"/>
      <w:sz w:val="32"/>
      <w:szCs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toc 2"/>
    <w:basedOn w:val="1"/>
    <w:next w:val="1"/>
    <w:qFormat/>
    <w:uiPriority w:val="39"/>
    <w:pPr>
      <w:ind w:left="420" w:leftChars="200"/>
    </w:pPr>
    <w:rPr>
      <w:rFonts w:cs="Times New Roman"/>
    </w:rPr>
  </w:style>
  <w:style w:type="paragraph" w:styleId="4">
    <w:name w:val="Normal (Web)"/>
    <w:basedOn w:val="1"/>
    <w:qFormat/>
    <w:uiPriority w:val="0"/>
    <w:pPr>
      <w:jc w:val="left"/>
    </w:pPr>
    <w:rPr>
      <w:rFonts w:cs="Times New Roman"/>
      <w:kern w:val="0"/>
      <w:sz w:val="24"/>
    </w:rPr>
  </w:style>
  <w:style w:type="character" w:styleId="7">
    <w:name w:val="Strong"/>
    <w:basedOn w:val="6"/>
    <w:qFormat/>
    <w:uiPriority w:val="0"/>
    <w:rPr>
      <w:b/>
    </w:rPr>
  </w:style>
  <w:style w:type="character" w:customStyle="1" w:styleId="8">
    <w:name w:val="font11"/>
    <w:basedOn w:val="6"/>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1583</Words>
  <Characters>9024</Characters>
  <Lines>75</Lines>
  <Paragraphs>21</Paragraphs>
  <TotalTime>42</TotalTime>
  <ScaleCrop>false</ScaleCrop>
  <LinksUpToDate>false</LinksUpToDate>
  <CharactersWithSpaces>10586</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2021-09-08T02:40:00Z</dcterms:created>
  <dc:creator>webUser</dc:creator>
  <cp:lastModifiedBy>武陵区残疾人联合会</cp:lastModifiedBy>
  <dcterms:modified xsi:type="dcterms:W3CDTF">2024-09-27T07:49:10Z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9981920E42874002A3D807DE04611938</vt:lpwstr>
  </property>
</Properties>
</file>